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themeColor="background1"/>
  <w:body>
    <w:p w14:paraId="1BCCB802">
      <w:pPr>
        <w:pStyle w:val="19"/>
        <w:keepNext w:val="0"/>
        <w:keepLines w:val="0"/>
        <w:pageBreakBefore w:val="0"/>
        <w:widowControl/>
        <w:kinsoku w:val="0"/>
        <w:wordWrap w:val="0"/>
        <w:overflowPunct/>
        <w:topLinePunct w:val="0"/>
        <w:autoSpaceDE w:val="0"/>
        <w:autoSpaceDN w:val="0"/>
        <w:bidi w:val="0"/>
        <w:adjustRightInd w:val="0"/>
        <w:snapToGrid w:val="0"/>
        <w:spacing w:line="254" w:lineRule="auto"/>
        <w:textAlignment w:val="baseline"/>
        <w:rPr>
          <w:rFonts w:hint="default" w:ascii="Times New Roman" w:hAnsi="Times New Roman" w:cs="Times New Roman"/>
        </w:rPr>
      </w:pPr>
      <w:bookmarkStart w:id="0" w:name="_Hlk71456902"/>
    </w:p>
    <w:p w14:paraId="49B1E27A">
      <w:pPr>
        <w:pStyle w:val="19"/>
        <w:keepNext w:val="0"/>
        <w:keepLines w:val="0"/>
        <w:pageBreakBefore w:val="0"/>
        <w:widowControl/>
        <w:kinsoku w:val="0"/>
        <w:wordWrap w:val="0"/>
        <w:overflowPunct/>
        <w:topLinePunct w:val="0"/>
        <w:autoSpaceDE w:val="0"/>
        <w:autoSpaceDN w:val="0"/>
        <w:bidi w:val="0"/>
        <w:adjustRightInd w:val="0"/>
        <w:snapToGrid w:val="0"/>
        <w:spacing w:line="255" w:lineRule="auto"/>
        <w:textAlignment w:val="baseline"/>
        <w:rPr>
          <w:rFonts w:hint="default" w:ascii="Times New Roman" w:hAnsi="Times New Roman" w:cs="Times New Roman"/>
        </w:rPr>
      </w:pPr>
    </w:p>
    <w:p w14:paraId="367AC6A3">
      <w:pPr>
        <w:keepNext w:val="0"/>
        <w:keepLines w:val="0"/>
        <w:pageBreakBefore w:val="0"/>
        <w:widowControl/>
        <w:kinsoku w:val="0"/>
        <w:wordWrap w:val="0"/>
        <w:overflowPunct/>
        <w:topLinePunct w:val="0"/>
        <w:autoSpaceDE w:val="0"/>
        <w:autoSpaceDN w:val="0"/>
        <w:bidi w:val="0"/>
        <w:adjustRightInd w:val="0"/>
        <w:snapToGrid w:val="0"/>
        <w:spacing w:before="218" w:line="360" w:lineRule="auto"/>
        <w:ind w:left="98"/>
        <w:jc w:val="center"/>
        <w:textAlignment w:val="baseline"/>
        <w:outlineLvl w:val="9"/>
        <w:rPr>
          <w:rFonts w:hint="default" w:ascii="Times New Roman" w:hAnsi="Times New Roman" w:eastAsia="宋体" w:cs="Times New Roman"/>
          <w:b/>
          <w:bCs/>
          <w:spacing w:val="3"/>
          <w:sz w:val="67"/>
          <w:szCs w:val="67"/>
        </w:rPr>
      </w:pPr>
    </w:p>
    <w:p w14:paraId="479BDAC9">
      <w:pPr>
        <w:keepNext w:val="0"/>
        <w:keepLines w:val="0"/>
        <w:pageBreakBefore w:val="0"/>
        <w:widowControl/>
        <w:kinsoku w:val="0"/>
        <w:wordWrap w:val="0"/>
        <w:overflowPunct/>
        <w:topLinePunct w:val="0"/>
        <w:autoSpaceDE w:val="0"/>
        <w:autoSpaceDN w:val="0"/>
        <w:bidi w:val="0"/>
        <w:adjustRightInd w:val="0"/>
        <w:snapToGrid w:val="0"/>
        <w:spacing w:before="218" w:line="360" w:lineRule="auto"/>
        <w:ind w:left="98"/>
        <w:jc w:val="center"/>
        <w:textAlignment w:val="baseline"/>
        <w:outlineLvl w:val="0"/>
        <w:rPr>
          <w:rFonts w:hint="default" w:ascii="Times New Roman" w:hAnsi="Times New Roman" w:eastAsia="宋体" w:cs="Times New Roman"/>
          <w:sz w:val="67"/>
          <w:szCs w:val="67"/>
        </w:rPr>
      </w:pPr>
      <w:r>
        <w:rPr>
          <w:rFonts w:hint="default" w:ascii="Times New Roman" w:hAnsi="Times New Roman" w:eastAsia="宋体" w:cs="Times New Roman"/>
          <w:b/>
          <w:bCs/>
          <w:spacing w:val="2"/>
          <w:sz w:val="67"/>
          <w:szCs w:val="67"/>
        </w:rPr>
        <w:t>招标文件</w:t>
      </w:r>
      <w:r>
        <w:rPr>
          <w:rFonts w:hint="eastAsia" w:cs="Times New Roman"/>
          <w:b/>
          <w:bCs/>
          <w:spacing w:val="2"/>
          <w:sz w:val="67"/>
          <w:szCs w:val="67"/>
          <w:lang w:val="en-US" w:eastAsia="zh-CN"/>
        </w:rPr>
        <w:t>-</w:t>
      </w:r>
      <w:r>
        <w:rPr>
          <w:rFonts w:hint="eastAsia" w:ascii="Times New Roman" w:hAnsi="Times New Roman" w:eastAsia="宋体" w:cs="Times New Roman"/>
          <w:b/>
          <w:bCs/>
          <w:spacing w:val="2"/>
          <w:sz w:val="67"/>
          <w:szCs w:val="67"/>
          <w:lang w:eastAsia="zh-CN"/>
        </w:rPr>
        <w:t>龙华区中心医院陪护工驻点服务招标项目</w:t>
      </w:r>
    </w:p>
    <w:p w14:paraId="2DEB5CB3">
      <w:pPr>
        <w:keepNext w:val="0"/>
        <w:keepLines w:val="0"/>
        <w:pageBreakBefore w:val="0"/>
        <w:widowControl/>
        <w:kinsoku w:val="0"/>
        <w:wordWrap w:val="0"/>
        <w:overflowPunct/>
        <w:topLinePunct w:val="0"/>
        <w:autoSpaceDE w:val="0"/>
        <w:autoSpaceDN w:val="0"/>
        <w:bidi w:val="0"/>
        <w:adjustRightInd w:val="0"/>
        <w:snapToGrid w:val="0"/>
        <w:spacing w:before="211" w:line="360" w:lineRule="auto"/>
        <w:ind w:left="2897"/>
        <w:jc w:val="both"/>
        <w:textAlignment w:val="baseline"/>
        <w:rPr>
          <w:rFonts w:hint="eastAsia" w:ascii="Times New Roman" w:hAnsi="Times New Roman" w:eastAsia="宋体" w:cs="Times New Roman"/>
          <w:sz w:val="52"/>
          <w:szCs w:val="52"/>
          <w:lang w:eastAsia="zh-CN"/>
        </w:rPr>
      </w:pPr>
      <w:r>
        <w:rPr>
          <w:rFonts w:hint="default" w:ascii="Times New Roman" w:hAnsi="Times New Roman" w:eastAsia="宋体" w:cs="Times New Roman"/>
          <w:b/>
          <w:bCs/>
          <w:spacing w:val="-12"/>
          <w:sz w:val="52"/>
          <w:szCs w:val="52"/>
        </w:rPr>
        <w:t>（</w:t>
      </w:r>
      <w:r>
        <w:rPr>
          <w:rFonts w:hint="eastAsia" w:cs="Times New Roman"/>
          <w:b/>
          <w:bCs/>
          <w:color w:val="auto"/>
          <w:spacing w:val="-12"/>
          <w:sz w:val="52"/>
          <w:szCs w:val="52"/>
          <w:lang w:val="en-US" w:eastAsia="zh-CN"/>
        </w:rPr>
        <w:t>服务</w:t>
      </w:r>
      <w:r>
        <w:rPr>
          <w:rFonts w:hint="default" w:ascii="Times New Roman" w:hAnsi="Times New Roman" w:eastAsia="宋体" w:cs="Times New Roman"/>
          <w:b/>
          <w:bCs/>
          <w:spacing w:val="-12"/>
          <w:sz w:val="52"/>
          <w:szCs w:val="52"/>
        </w:rPr>
        <w:t>类）</w:t>
      </w:r>
    </w:p>
    <w:p w14:paraId="3792D575">
      <w:pPr>
        <w:pStyle w:val="19"/>
        <w:keepNext w:val="0"/>
        <w:keepLines w:val="0"/>
        <w:pageBreakBefore w:val="0"/>
        <w:widowControl/>
        <w:kinsoku w:val="0"/>
        <w:wordWrap w:val="0"/>
        <w:overflowPunct/>
        <w:topLinePunct w:val="0"/>
        <w:autoSpaceDE w:val="0"/>
        <w:autoSpaceDN w:val="0"/>
        <w:bidi w:val="0"/>
        <w:adjustRightInd w:val="0"/>
        <w:snapToGrid w:val="0"/>
        <w:spacing w:line="243" w:lineRule="auto"/>
        <w:jc w:val="center"/>
        <w:textAlignment w:val="baseline"/>
        <w:rPr>
          <w:rFonts w:hint="default" w:ascii="Times New Roman" w:hAnsi="Times New Roman" w:cs="Times New Roman"/>
        </w:rPr>
      </w:pPr>
    </w:p>
    <w:p w14:paraId="332F5B31">
      <w:pPr>
        <w:pStyle w:val="19"/>
        <w:keepNext w:val="0"/>
        <w:keepLines w:val="0"/>
        <w:pageBreakBefore w:val="0"/>
        <w:widowControl/>
        <w:tabs>
          <w:tab w:val="left" w:pos="5942"/>
        </w:tabs>
        <w:kinsoku w:val="0"/>
        <w:wordWrap w:val="0"/>
        <w:overflowPunct/>
        <w:topLinePunct w:val="0"/>
        <w:autoSpaceDE w:val="0"/>
        <w:autoSpaceDN w:val="0"/>
        <w:bidi w:val="0"/>
        <w:adjustRightInd w:val="0"/>
        <w:snapToGrid w:val="0"/>
        <w:spacing w:line="243" w:lineRule="auto"/>
        <w:jc w:val="left"/>
        <w:textAlignment w:val="baseline"/>
        <w:rPr>
          <w:rFonts w:hint="eastAsia" w:ascii="Times New Roman" w:hAnsi="Times New Roman" w:eastAsia="宋体" w:cs="Times New Roman"/>
          <w:lang w:eastAsia="zh-CN"/>
        </w:rPr>
      </w:pPr>
      <w:r>
        <w:rPr>
          <w:rFonts w:hint="eastAsia" w:cs="Times New Roman"/>
          <w:lang w:eastAsia="zh-CN"/>
        </w:rPr>
        <w:tab/>
      </w:r>
    </w:p>
    <w:p w14:paraId="40635DE5">
      <w:pPr>
        <w:pStyle w:val="19"/>
        <w:keepNext w:val="0"/>
        <w:keepLines w:val="0"/>
        <w:pageBreakBefore w:val="0"/>
        <w:widowControl/>
        <w:kinsoku w:val="0"/>
        <w:wordWrap w:val="0"/>
        <w:overflowPunct/>
        <w:topLinePunct w:val="0"/>
        <w:autoSpaceDE w:val="0"/>
        <w:autoSpaceDN w:val="0"/>
        <w:bidi w:val="0"/>
        <w:adjustRightInd w:val="0"/>
        <w:snapToGrid w:val="0"/>
        <w:spacing w:line="243" w:lineRule="auto"/>
        <w:jc w:val="center"/>
        <w:textAlignment w:val="baseline"/>
        <w:rPr>
          <w:rFonts w:hint="default" w:ascii="Times New Roman" w:hAnsi="Times New Roman" w:cs="Times New Roman"/>
        </w:rPr>
      </w:pPr>
    </w:p>
    <w:p w14:paraId="4843890B">
      <w:pPr>
        <w:pStyle w:val="19"/>
        <w:keepNext w:val="0"/>
        <w:keepLines w:val="0"/>
        <w:pageBreakBefore w:val="0"/>
        <w:widowControl/>
        <w:kinsoku w:val="0"/>
        <w:wordWrap w:val="0"/>
        <w:overflowPunct/>
        <w:topLinePunct w:val="0"/>
        <w:autoSpaceDE w:val="0"/>
        <w:autoSpaceDN w:val="0"/>
        <w:bidi w:val="0"/>
        <w:adjustRightInd w:val="0"/>
        <w:snapToGrid w:val="0"/>
        <w:spacing w:line="244" w:lineRule="auto"/>
        <w:jc w:val="center"/>
        <w:textAlignment w:val="baseline"/>
        <w:rPr>
          <w:rFonts w:hint="default" w:ascii="Times New Roman" w:hAnsi="Times New Roman" w:cs="Times New Roman"/>
        </w:rPr>
      </w:pPr>
    </w:p>
    <w:p w14:paraId="03F45015">
      <w:pPr>
        <w:pStyle w:val="19"/>
        <w:keepNext w:val="0"/>
        <w:keepLines w:val="0"/>
        <w:pageBreakBefore w:val="0"/>
        <w:widowControl/>
        <w:kinsoku w:val="0"/>
        <w:wordWrap w:val="0"/>
        <w:overflowPunct/>
        <w:topLinePunct w:val="0"/>
        <w:autoSpaceDE w:val="0"/>
        <w:autoSpaceDN w:val="0"/>
        <w:bidi w:val="0"/>
        <w:adjustRightInd w:val="0"/>
        <w:snapToGrid w:val="0"/>
        <w:spacing w:line="244" w:lineRule="auto"/>
        <w:jc w:val="center"/>
        <w:textAlignment w:val="baseline"/>
        <w:rPr>
          <w:rFonts w:hint="default" w:ascii="Times New Roman" w:hAnsi="Times New Roman" w:cs="Times New Roman"/>
        </w:rPr>
      </w:pPr>
    </w:p>
    <w:p w14:paraId="684AA28F">
      <w:pPr>
        <w:pStyle w:val="19"/>
        <w:keepNext w:val="0"/>
        <w:keepLines w:val="0"/>
        <w:pageBreakBefore w:val="0"/>
        <w:widowControl/>
        <w:kinsoku w:val="0"/>
        <w:wordWrap w:val="0"/>
        <w:overflowPunct/>
        <w:topLinePunct w:val="0"/>
        <w:autoSpaceDE w:val="0"/>
        <w:autoSpaceDN w:val="0"/>
        <w:bidi w:val="0"/>
        <w:adjustRightInd w:val="0"/>
        <w:snapToGrid w:val="0"/>
        <w:spacing w:line="244" w:lineRule="auto"/>
        <w:jc w:val="center"/>
        <w:textAlignment w:val="baseline"/>
        <w:rPr>
          <w:rFonts w:hint="default" w:ascii="Times New Roman" w:hAnsi="Times New Roman" w:cs="Times New Roman"/>
        </w:rPr>
      </w:pPr>
    </w:p>
    <w:p w14:paraId="4100E366">
      <w:pPr>
        <w:pStyle w:val="19"/>
        <w:keepNext w:val="0"/>
        <w:keepLines w:val="0"/>
        <w:pageBreakBefore w:val="0"/>
        <w:widowControl/>
        <w:kinsoku w:val="0"/>
        <w:wordWrap w:val="0"/>
        <w:overflowPunct/>
        <w:topLinePunct w:val="0"/>
        <w:autoSpaceDE w:val="0"/>
        <w:autoSpaceDN w:val="0"/>
        <w:bidi w:val="0"/>
        <w:adjustRightInd w:val="0"/>
        <w:snapToGrid w:val="0"/>
        <w:spacing w:line="244" w:lineRule="auto"/>
        <w:jc w:val="center"/>
        <w:textAlignment w:val="baseline"/>
        <w:rPr>
          <w:rFonts w:hint="default" w:ascii="Times New Roman" w:hAnsi="Times New Roman" w:cs="Times New Roman"/>
        </w:rPr>
      </w:pPr>
    </w:p>
    <w:p w14:paraId="3F719223">
      <w:pPr>
        <w:pStyle w:val="19"/>
        <w:keepNext w:val="0"/>
        <w:keepLines w:val="0"/>
        <w:pageBreakBefore w:val="0"/>
        <w:widowControl/>
        <w:kinsoku w:val="0"/>
        <w:wordWrap w:val="0"/>
        <w:overflowPunct/>
        <w:topLinePunct w:val="0"/>
        <w:autoSpaceDE w:val="0"/>
        <w:autoSpaceDN w:val="0"/>
        <w:bidi w:val="0"/>
        <w:adjustRightInd w:val="0"/>
        <w:snapToGrid w:val="0"/>
        <w:spacing w:line="244" w:lineRule="auto"/>
        <w:jc w:val="center"/>
        <w:textAlignment w:val="baseline"/>
        <w:rPr>
          <w:rFonts w:hint="default" w:ascii="Times New Roman" w:hAnsi="Times New Roman" w:cs="Times New Roman"/>
        </w:rPr>
      </w:pPr>
    </w:p>
    <w:p w14:paraId="3A9EA4D1">
      <w:pPr>
        <w:pStyle w:val="19"/>
        <w:keepNext w:val="0"/>
        <w:keepLines w:val="0"/>
        <w:pageBreakBefore w:val="0"/>
        <w:widowControl/>
        <w:kinsoku w:val="0"/>
        <w:wordWrap w:val="0"/>
        <w:overflowPunct/>
        <w:topLinePunct w:val="0"/>
        <w:autoSpaceDE w:val="0"/>
        <w:autoSpaceDN w:val="0"/>
        <w:bidi w:val="0"/>
        <w:adjustRightInd w:val="0"/>
        <w:snapToGrid w:val="0"/>
        <w:spacing w:line="242" w:lineRule="auto"/>
        <w:textAlignment w:val="baseline"/>
        <w:rPr>
          <w:rFonts w:hint="default" w:ascii="Times New Roman" w:hAnsi="Times New Roman" w:cs="Times New Roman"/>
        </w:rPr>
      </w:pPr>
    </w:p>
    <w:p w14:paraId="662C0F2C">
      <w:pPr>
        <w:pStyle w:val="19"/>
        <w:keepNext w:val="0"/>
        <w:keepLines w:val="0"/>
        <w:pageBreakBefore w:val="0"/>
        <w:widowControl/>
        <w:kinsoku w:val="0"/>
        <w:wordWrap w:val="0"/>
        <w:overflowPunct/>
        <w:topLinePunct w:val="0"/>
        <w:autoSpaceDE w:val="0"/>
        <w:autoSpaceDN w:val="0"/>
        <w:bidi w:val="0"/>
        <w:adjustRightInd w:val="0"/>
        <w:snapToGrid w:val="0"/>
        <w:spacing w:line="242" w:lineRule="auto"/>
        <w:textAlignment w:val="baseline"/>
        <w:rPr>
          <w:rFonts w:hint="default" w:ascii="Times New Roman" w:hAnsi="Times New Roman" w:cs="Times New Roman"/>
        </w:rPr>
      </w:pPr>
    </w:p>
    <w:p w14:paraId="74D724BD">
      <w:pPr>
        <w:pStyle w:val="19"/>
        <w:keepNext w:val="0"/>
        <w:keepLines w:val="0"/>
        <w:pageBreakBefore w:val="0"/>
        <w:widowControl/>
        <w:kinsoku w:val="0"/>
        <w:wordWrap w:val="0"/>
        <w:overflowPunct/>
        <w:topLinePunct w:val="0"/>
        <w:autoSpaceDE w:val="0"/>
        <w:autoSpaceDN w:val="0"/>
        <w:bidi w:val="0"/>
        <w:adjustRightInd w:val="0"/>
        <w:snapToGrid w:val="0"/>
        <w:spacing w:line="243" w:lineRule="auto"/>
        <w:textAlignment w:val="baseline"/>
        <w:rPr>
          <w:rFonts w:hint="default" w:ascii="Times New Roman" w:hAnsi="Times New Roman" w:cs="Times New Roman"/>
        </w:rPr>
      </w:pPr>
    </w:p>
    <w:p w14:paraId="4D7161F5">
      <w:pPr>
        <w:rPr>
          <w:rFonts w:hint="default" w:ascii="Times New Roman" w:hAnsi="Times New Roman" w:cs="Times New Roman"/>
        </w:rPr>
      </w:pPr>
    </w:p>
    <w:p w14:paraId="154760D4">
      <w:pPr>
        <w:pStyle w:val="40"/>
        <w:pageBreakBefore w:val="0"/>
        <w:widowControl/>
        <w:kinsoku/>
        <w:overflowPunct/>
        <w:topLinePunct w:val="0"/>
        <w:autoSpaceDE/>
        <w:autoSpaceDN/>
        <w:bidi w:val="0"/>
        <w:spacing w:beforeAutospacing="0" w:afterAutospacing="0" w:line="360" w:lineRule="auto"/>
        <w:ind w:right="0"/>
        <w:jc w:val="center"/>
        <w:outlineLvl w:val="9"/>
        <w:rPr>
          <w:rFonts w:hint="default" w:ascii="Times New Roman" w:hAnsi="Times New Roman" w:eastAsia="宋体" w:cs="Times New Roman"/>
          <w:b/>
          <w:bCs w:val="0"/>
          <w:sz w:val="32"/>
          <w:szCs w:val="32"/>
          <w:highlight w:val="none"/>
        </w:rPr>
      </w:pPr>
      <w:bookmarkStart w:id="1" w:name="_Hlk71465316"/>
      <w:r>
        <w:rPr>
          <w:rFonts w:hint="default" w:ascii="Times New Roman" w:hAnsi="Times New Roman" w:eastAsia="宋体" w:cs="Times New Roman"/>
          <w:b/>
          <w:bCs w:val="0"/>
          <w:sz w:val="32"/>
          <w:szCs w:val="32"/>
          <w:highlight w:val="none"/>
        </w:rPr>
        <w:t>（</w:t>
      </w:r>
      <w:r>
        <w:rPr>
          <w:rFonts w:hint="eastAsia" w:cs="Times New Roman"/>
          <w:b/>
          <w:bCs w:val="0"/>
          <w:sz w:val="32"/>
          <w:szCs w:val="32"/>
          <w:highlight w:val="none"/>
          <w:lang w:val="en-US" w:eastAsia="zh-CN"/>
        </w:rPr>
        <w:t>深圳</w:t>
      </w:r>
      <w:r>
        <w:rPr>
          <w:rFonts w:hint="default" w:ascii="Times New Roman" w:hAnsi="Times New Roman" w:eastAsia="微软雅黑" w:cs="Times New Roman"/>
          <w:b/>
          <w:bCs w:val="0"/>
          <w:sz w:val="32"/>
          <w:szCs w:val="32"/>
          <w:highlight w:val="none"/>
          <w:lang w:val="en-US" w:eastAsia="zh-CN"/>
        </w:rPr>
        <w:t>•</w:t>
      </w:r>
      <w:r>
        <w:rPr>
          <w:rFonts w:hint="default" w:ascii="Times New Roman" w:hAnsi="Times New Roman" w:eastAsia="宋体" w:cs="Times New Roman"/>
          <w:b/>
          <w:bCs w:val="0"/>
          <w:sz w:val="32"/>
          <w:szCs w:val="32"/>
          <w:highlight w:val="none"/>
        </w:rPr>
        <w:t>202</w:t>
      </w:r>
      <w:r>
        <w:rPr>
          <w:rFonts w:hint="eastAsia" w:cs="Times New Roman"/>
          <w:b/>
          <w:bCs w:val="0"/>
          <w:sz w:val="32"/>
          <w:szCs w:val="32"/>
          <w:highlight w:val="none"/>
          <w:lang w:val="en-US" w:eastAsia="zh-CN"/>
        </w:rPr>
        <w:t>6</w:t>
      </w:r>
      <w:r>
        <w:rPr>
          <w:rFonts w:hint="default" w:ascii="Times New Roman" w:hAnsi="Times New Roman" w:cs="Times New Roman"/>
          <w:b/>
          <w:bCs w:val="0"/>
          <w:sz w:val="32"/>
          <w:szCs w:val="32"/>
          <w:highlight w:val="none"/>
          <w:lang w:val="en-US" w:eastAsia="zh-CN"/>
        </w:rPr>
        <w:t>年</w:t>
      </w:r>
      <w:r>
        <w:rPr>
          <w:rFonts w:hint="default" w:ascii="Times New Roman" w:hAnsi="Times New Roman" w:eastAsia="宋体" w:cs="Times New Roman"/>
          <w:b/>
          <w:bCs w:val="0"/>
          <w:sz w:val="32"/>
          <w:szCs w:val="32"/>
          <w:highlight w:val="none"/>
        </w:rPr>
        <w:t>）</w:t>
      </w:r>
      <w:bookmarkEnd w:id="1"/>
    </w:p>
    <w:p w14:paraId="3733D352">
      <w:pPr>
        <w:widowControl/>
        <w:autoSpaceDE w:val="0"/>
        <w:autoSpaceDN w:val="0"/>
        <w:spacing w:line="360" w:lineRule="auto"/>
        <w:ind w:left="218" w:leftChars="104"/>
        <w:textAlignment w:val="bottom"/>
        <w:rPr>
          <w:rFonts w:hint="eastAsia" w:ascii="Arial" w:hAnsi="Arial" w:eastAsia="黑体" w:cs="Arial"/>
          <w:b/>
          <w:color w:val="000000"/>
          <w:sz w:val="36"/>
          <w:szCs w:val="36"/>
        </w:rPr>
      </w:pPr>
    </w:p>
    <w:p w14:paraId="55BDCCED">
      <w:pPr>
        <w:widowControl/>
        <w:autoSpaceDE w:val="0"/>
        <w:autoSpaceDN w:val="0"/>
        <w:spacing w:line="360" w:lineRule="auto"/>
        <w:ind w:left="218" w:leftChars="104"/>
        <w:textAlignment w:val="bottom"/>
        <w:rPr>
          <w:rFonts w:hint="eastAsia" w:ascii="Arial" w:hAnsi="Arial" w:eastAsia="黑体" w:cs="Arial"/>
          <w:b/>
          <w:color w:val="000000"/>
          <w:sz w:val="36"/>
          <w:szCs w:val="36"/>
        </w:rPr>
      </w:pPr>
    </w:p>
    <w:p w14:paraId="1E59FCF1">
      <w:pPr>
        <w:widowControl/>
        <w:autoSpaceDE w:val="0"/>
        <w:autoSpaceDN w:val="0"/>
        <w:spacing w:line="360" w:lineRule="auto"/>
        <w:ind w:left="218" w:leftChars="104"/>
        <w:textAlignment w:val="bottom"/>
        <w:rPr>
          <w:rFonts w:hint="eastAsia" w:ascii="Arial" w:hAnsi="Arial" w:eastAsia="黑体" w:cs="Arial"/>
          <w:b/>
          <w:color w:val="000000"/>
          <w:sz w:val="36"/>
          <w:szCs w:val="36"/>
        </w:rPr>
      </w:pPr>
    </w:p>
    <w:p w14:paraId="49339319">
      <w:pPr>
        <w:widowControl/>
        <w:autoSpaceDE w:val="0"/>
        <w:autoSpaceDN w:val="0"/>
        <w:spacing w:line="360" w:lineRule="auto"/>
        <w:ind w:left="218" w:leftChars="104"/>
        <w:textAlignment w:val="bottom"/>
        <w:rPr>
          <w:rFonts w:hint="default" w:ascii="Arial" w:hAnsi="Arial" w:eastAsia="黑体" w:cs="Arial"/>
          <w:b/>
          <w:color w:val="000000"/>
          <w:sz w:val="36"/>
          <w:szCs w:val="36"/>
          <w:lang w:val="en-US" w:eastAsia="zh-CN"/>
        </w:rPr>
      </w:pPr>
      <w:r>
        <w:rPr>
          <w:rFonts w:hint="eastAsia" w:ascii="Arial" w:hAnsi="Arial" w:eastAsia="黑体" w:cs="Arial"/>
          <w:b/>
          <w:color w:val="000000"/>
          <w:sz w:val="36"/>
          <w:szCs w:val="36"/>
        </w:rPr>
        <w:t>采购单位：深圳市</w:t>
      </w:r>
      <w:r>
        <w:rPr>
          <w:rFonts w:hint="eastAsia" w:ascii="Arial" w:hAnsi="Arial" w:eastAsia="黑体" w:cs="Arial"/>
          <w:b/>
          <w:color w:val="000000"/>
          <w:sz w:val="36"/>
          <w:szCs w:val="36"/>
          <w:lang w:val="en-US" w:eastAsia="zh-CN"/>
        </w:rPr>
        <w:t>龙华区中心医院</w:t>
      </w:r>
    </w:p>
    <w:p w14:paraId="7CC39838">
      <w:pPr>
        <w:widowControl/>
        <w:autoSpaceDE w:val="0"/>
        <w:autoSpaceDN w:val="0"/>
        <w:spacing w:line="360" w:lineRule="auto"/>
        <w:ind w:left="218" w:leftChars="104"/>
        <w:textAlignment w:val="bottom"/>
        <w:rPr>
          <w:rFonts w:hint="default" w:ascii="Times New Roman" w:hAnsi="Times New Roman" w:eastAsia="宋体" w:cs="Times New Roman"/>
          <w:b/>
          <w:sz w:val="44"/>
          <w:szCs w:val="44"/>
          <w:highlight w:val="none"/>
        </w:rPr>
      </w:pPr>
      <w:r>
        <w:rPr>
          <w:rFonts w:hint="eastAsia" w:ascii="Arial" w:hAnsi="Arial" w:eastAsia="黑体" w:cs="Arial"/>
          <w:b/>
          <w:color w:val="000000"/>
          <w:sz w:val="36"/>
          <w:szCs w:val="36"/>
        </w:rPr>
        <w:t>采购代理机构：深圳信德招标服务有限公司</w:t>
      </w:r>
      <w:r>
        <w:rPr>
          <w:rFonts w:hint="default" w:ascii="Times New Roman" w:hAnsi="Times New Roman" w:eastAsia="宋体" w:cs="Times New Roman"/>
          <w:b/>
          <w:sz w:val="44"/>
          <w:szCs w:val="44"/>
          <w:highlight w:val="none"/>
        </w:rPr>
        <w:br w:type="page"/>
      </w:r>
    </w:p>
    <w:p w14:paraId="7BD89680">
      <w:pPr>
        <w:pStyle w:val="40"/>
        <w:pageBreakBefore w:val="0"/>
        <w:widowControl/>
        <w:kinsoku/>
        <w:overflowPunct/>
        <w:topLinePunct w:val="0"/>
        <w:autoSpaceDE/>
        <w:autoSpaceDN/>
        <w:bidi w:val="0"/>
        <w:spacing w:beforeAutospacing="0" w:afterAutospacing="0" w:line="360" w:lineRule="auto"/>
        <w:ind w:left="0" w:leftChars="0" w:right="0" w:firstLine="0" w:firstLineChars="0"/>
        <w:jc w:val="center"/>
        <w:outlineLvl w:val="9"/>
        <w:rPr>
          <w:rFonts w:hint="default" w:ascii="Times New Roman" w:hAnsi="Times New Roman" w:eastAsia="宋体" w:cs="Times New Roman"/>
          <w:b/>
          <w:sz w:val="44"/>
          <w:szCs w:val="44"/>
          <w:highlight w:val="none"/>
        </w:rPr>
      </w:pPr>
    </w:p>
    <w:p w14:paraId="39400A80">
      <w:pPr>
        <w:pStyle w:val="40"/>
        <w:pageBreakBefore w:val="0"/>
        <w:widowControl/>
        <w:kinsoku/>
        <w:overflowPunct/>
        <w:topLinePunct w:val="0"/>
        <w:autoSpaceDE/>
        <w:autoSpaceDN/>
        <w:bidi w:val="0"/>
        <w:spacing w:beforeAutospacing="0" w:afterAutospacing="0" w:line="360" w:lineRule="auto"/>
        <w:ind w:left="0" w:leftChars="0" w:right="0" w:firstLine="0" w:firstLineChars="0"/>
        <w:jc w:val="center"/>
        <w:outlineLvl w:val="1"/>
        <w:rPr>
          <w:rFonts w:hint="default" w:ascii="Times New Roman" w:hAnsi="Times New Roman" w:eastAsia="宋体" w:cs="Times New Roman"/>
          <w:sz w:val="40"/>
          <w:szCs w:val="40"/>
          <w:highlight w:val="none"/>
        </w:rPr>
      </w:pPr>
      <w:r>
        <w:rPr>
          <w:rFonts w:hint="eastAsia" w:cs="Times New Roman"/>
          <w:sz w:val="40"/>
          <w:szCs w:val="40"/>
          <w:highlight w:val="none"/>
          <w:lang w:val="en-US" w:eastAsia="zh-CN"/>
        </w:rPr>
        <w:t>龙华区中心医院陪护工驻点服务招标项目</w:t>
      </w:r>
      <w:r>
        <w:rPr>
          <w:rFonts w:hint="default" w:ascii="Times New Roman" w:hAnsi="Times New Roman" w:eastAsia="宋体" w:cs="Times New Roman"/>
          <w:sz w:val="40"/>
          <w:szCs w:val="40"/>
          <w:highlight w:val="none"/>
        </w:rPr>
        <w:t>招标文件信息</w:t>
      </w:r>
    </w:p>
    <w:p w14:paraId="0B604883">
      <w:pPr>
        <w:pStyle w:val="40"/>
        <w:pageBreakBefore w:val="0"/>
        <w:widowControl/>
        <w:kinsoku/>
        <w:overflowPunct/>
        <w:topLinePunct w:val="0"/>
        <w:autoSpaceDE/>
        <w:autoSpaceDN/>
        <w:bidi w:val="0"/>
        <w:spacing w:beforeAutospacing="0" w:afterAutospacing="0" w:line="360" w:lineRule="auto"/>
        <w:ind w:left="0" w:leftChars="0" w:right="0" w:firstLine="0" w:firstLineChars="0"/>
        <w:jc w:val="center"/>
        <w:outlineLvl w:val="9"/>
        <w:rPr>
          <w:rFonts w:hint="default" w:ascii="Times New Roman" w:hAnsi="Times New Roman" w:eastAsia="宋体" w:cs="Times New Roman"/>
          <w:sz w:val="40"/>
          <w:szCs w:val="40"/>
          <w:highlight w:val="none"/>
        </w:rPr>
      </w:pPr>
    </w:p>
    <w:tbl>
      <w:tblPr>
        <w:tblStyle w:val="45"/>
        <w:tblW w:w="7999" w:type="dxa"/>
        <w:jc w:val="center"/>
        <w:tblCellSpacing w:w="0" w:type="dxa"/>
        <w:tblLayout w:type="fixed"/>
        <w:tblCellMar>
          <w:top w:w="45" w:type="dxa"/>
          <w:left w:w="45" w:type="dxa"/>
          <w:bottom w:w="45" w:type="dxa"/>
          <w:right w:w="45" w:type="dxa"/>
        </w:tblCellMar>
      </w:tblPr>
      <w:tblGrid>
        <w:gridCol w:w="1948"/>
        <w:gridCol w:w="6051"/>
      </w:tblGrid>
      <w:tr w14:paraId="0132BFA6">
        <w:tblPrEx>
          <w:tblCellMar>
            <w:top w:w="45" w:type="dxa"/>
            <w:left w:w="45" w:type="dxa"/>
            <w:bottom w:w="45" w:type="dxa"/>
            <w:right w:w="45" w:type="dxa"/>
          </w:tblCellMar>
        </w:tblPrEx>
        <w:trPr>
          <w:trHeight w:val="802" w:hRule="atLeast"/>
          <w:tblCellSpacing w:w="0" w:type="dxa"/>
          <w:jc w:val="center"/>
        </w:trPr>
        <w:tc>
          <w:tcPr>
            <w:tcW w:w="1948" w:type="dxa"/>
            <w:shd w:val="clear" w:color="auto" w:fill="auto"/>
            <w:vAlign w:val="center"/>
          </w:tcPr>
          <w:p w14:paraId="06E9CD9F">
            <w:pPr>
              <w:pageBreakBefore w:val="0"/>
              <w:widowControl/>
              <w:kinsoku/>
              <w:overflowPunct/>
              <w:topLinePunct w:val="0"/>
              <w:autoSpaceDE/>
              <w:autoSpaceDN/>
              <w:bidi w:val="0"/>
              <w:spacing w:beforeAutospacing="0" w:afterAutospacing="0" w:line="240" w:lineRule="auto"/>
              <w:ind w:left="0" w:leftChars="0" w:right="0" w:firstLine="0" w:firstLineChars="0"/>
              <w:jc w:val="left"/>
              <w:rPr>
                <w:rFonts w:hint="default" w:ascii="Times New Roman" w:hAnsi="Times New Roman" w:eastAsia="宋体" w:cs="Times New Roman"/>
                <w:sz w:val="30"/>
                <w:szCs w:val="30"/>
                <w:highlight w:val="none"/>
              </w:rPr>
            </w:pPr>
            <w:r>
              <w:rPr>
                <w:rFonts w:hint="default" w:ascii="Times New Roman" w:hAnsi="Times New Roman" w:eastAsia="宋体" w:cs="Times New Roman"/>
                <w:kern w:val="0"/>
                <w:sz w:val="30"/>
                <w:szCs w:val="30"/>
                <w:highlight w:val="none"/>
                <w:lang w:bidi="ar"/>
              </w:rPr>
              <w:t>项目编号：</w:t>
            </w:r>
          </w:p>
        </w:tc>
        <w:tc>
          <w:tcPr>
            <w:tcW w:w="6051" w:type="dxa"/>
            <w:shd w:val="clear" w:color="auto" w:fill="auto"/>
            <w:vAlign w:val="center"/>
          </w:tcPr>
          <w:p w14:paraId="04ACF498">
            <w:pPr>
              <w:pageBreakBefore w:val="0"/>
              <w:widowControl/>
              <w:kinsoku/>
              <w:overflowPunct/>
              <w:topLinePunct w:val="0"/>
              <w:autoSpaceDE/>
              <w:autoSpaceDN/>
              <w:bidi w:val="0"/>
              <w:spacing w:beforeAutospacing="0" w:afterAutospacing="0" w:line="240" w:lineRule="auto"/>
              <w:ind w:left="0" w:leftChars="0" w:right="0" w:firstLine="0" w:firstLineChars="0"/>
              <w:jc w:val="both"/>
              <w:rPr>
                <w:rFonts w:hint="eastAsia" w:ascii="Times New Roman" w:hAnsi="Times New Roman" w:eastAsia="宋体" w:cs="Times New Roman"/>
                <w:sz w:val="30"/>
                <w:szCs w:val="30"/>
                <w:highlight w:val="none"/>
                <w:lang w:eastAsia="zh-CN"/>
              </w:rPr>
            </w:pPr>
            <w:r>
              <w:rPr>
                <w:rFonts w:hint="eastAsia" w:cs="Times New Roman"/>
                <w:sz w:val="30"/>
                <w:szCs w:val="30"/>
                <w:highlight w:val="none"/>
                <w:lang w:eastAsia="zh-CN"/>
              </w:rPr>
              <w:t>XDZB20260226001</w:t>
            </w:r>
          </w:p>
        </w:tc>
      </w:tr>
      <w:tr w14:paraId="508D7F1D">
        <w:tblPrEx>
          <w:tblCellMar>
            <w:top w:w="45" w:type="dxa"/>
            <w:left w:w="45" w:type="dxa"/>
            <w:bottom w:w="45" w:type="dxa"/>
            <w:right w:w="45" w:type="dxa"/>
          </w:tblCellMar>
        </w:tblPrEx>
        <w:trPr>
          <w:trHeight w:val="802" w:hRule="atLeast"/>
          <w:tblCellSpacing w:w="0" w:type="dxa"/>
          <w:jc w:val="center"/>
        </w:trPr>
        <w:tc>
          <w:tcPr>
            <w:tcW w:w="1948" w:type="dxa"/>
            <w:shd w:val="clear" w:color="auto" w:fill="auto"/>
            <w:vAlign w:val="center"/>
          </w:tcPr>
          <w:p w14:paraId="231E6707">
            <w:pPr>
              <w:pageBreakBefore w:val="0"/>
              <w:widowControl/>
              <w:kinsoku/>
              <w:overflowPunct/>
              <w:topLinePunct w:val="0"/>
              <w:autoSpaceDE/>
              <w:autoSpaceDN/>
              <w:bidi w:val="0"/>
              <w:spacing w:beforeAutospacing="0" w:afterAutospacing="0" w:line="240" w:lineRule="auto"/>
              <w:ind w:left="0" w:leftChars="0" w:right="0" w:firstLine="0" w:firstLineChars="0"/>
              <w:jc w:val="left"/>
              <w:rPr>
                <w:rFonts w:hint="default" w:ascii="Times New Roman" w:hAnsi="Times New Roman" w:eastAsia="宋体" w:cs="Times New Roman"/>
                <w:sz w:val="30"/>
                <w:szCs w:val="30"/>
                <w:highlight w:val="none"/>
              </w:rPr>
            </w:pPr>
            <w:r>
              <w:rPr>
                <w:rFonts w:hint="default" w:ascii="Times New Roman" w:hAnsi="Times New Roman" w:eastAsia="宋体" w:cs="Times New Roman"/>
                <w:kern w:val="0"/>
                <w:sz w:val="30"/>
                <w:szCs w:val="30"/>
                <w:highlight w:val="none"/>
                <w:lang w:bidi="ar"/>
              </w:rPr>
              <w:t>项目名称：</w:t>
            </w:r>
          </w:p>
        </w:tc>
        <w:tc>
          <w:tcPr>
            <w:tcW w:w="6051" w:type="dxa"/>
            <w:shd w:val="clear" w:color="auto" w:fill="auto"/>
            <w:vAlign w:val="center"/>
          </w:tcPr>
          <w:p w14:paraId="340DF5DE">
            <w:pPr>
              <w:pageBreakBefore w:val="0"/>
              <w:widowControl/>
              <w:kinsoku/>
              <w:overflowPunct/>
              <w:topLinePunct w:val="0"/>
              <w:autoSpaceDE/>
              <w:autoSpaceDN/>
              <w:bidi w:val="0"/>
              <w:spacing w:beforeAutospacing="0" w:afterAutospacing="0" w:line="240" w:lineRule="auto"/>
              <w:ind w:left="0" w:leftChars="0" w:right="0" w:firstLine="0" w:firstLineChars="0"/>
              <w:jc w:val="both"/>
              <w:rPr>
                <w:rFonts w:hint="default" w:ascii="Times New Roman" w:hAnsi="Times New Roman" w:eastAsia="宋体" w:cs="Times New Roman"/>
                <w:sz w:val="30"/>
                <w:szCs w:val="30"/>
                <w:highlight w:val="none"/>
                <w:lang w:eastAsia="zh-CN"/>
              </w:rPr>
            </w:pPr>
            <w:r>
              <w:rPr>
                <w:rFonts w:hint="eastAsia" w:cs="Times New Roman"/>
                <w:sz w:val="30"/>
                <w:szCs w:val="30"/>
                <w:highlight w:val="none"/>
                <w:lang w:eastAsia="zh-CN"/>
              </w:rPr>
              <w:t>龙华区中心医院陪护工驻点服务招标项目</w:t>
            </w:r>
          </w:p>
        </w:tc>
      </w:tr>
      <w:tr w14:paraId="0D561829">
        <w:tblPrEx>
          <w:tblCellMar>
            <w:top w:w="45" w:type="dxa"/>
            <w:left w:w="45" w:type="dxa"/>
            <w:bottom w:w="45" w:type="dxa"/>
            <w:right w:w="45" w:type="dxa"/>
          </w:tblCellMar>
        </w:tblPrEx>
        <w:trPr>
          <w:trHeight w:val="802" w:hRule="atLeast"/>
          <w:tblCellSpacing w:w="0" w:type="dxa"/>
          <w:jc w:val="center"/>
        </w:trPr>
        <w:tc>
          <w:tcPr>
            <w:tcW w:w="1948" w:type="dxa"/>
            <w:shd w:val="clear" w:color="auto" w:fill="auto"/>
            <w:vAlign w:val="center"/>
          </w:tcPr>
          <w:p w14:paraId="61287F7F">
            <w:pPr>
              <w:pageBreakBefore w:val="0"/>
              <w:widowControl/>
              <w:kinsoku/>
              <w:overflowPunct/>
              <w:topLinePunct w:val="0"/>
              <w:autoSpaceDE/>
              <w:autoSpaceDN/>
              <w:bidi w:val="0"/>
              <w:spacing w:beforeAutospacing="0" w:afterAutospacing="0" w:line="240" w:lineRule="auto"/>
              <w:ind w:left="0" w:leftChars="0" w:right="0" w:firstLine="0" w:firstLineChars="0"/>
              <w:jc w:val="left"/>
              <w:rPr>
                <w:rFonts w:hint="default" w:ascii="Times New Roman" w:hAnsi="Times New Roman" w:eastAsia="宋体" w:cs="Times New Roman"/>
                <w:sz w:val="30"/>
                <w:szCs w:val="30"/>
                <w:highlight w:val="none"/>
              </w:rPr>
            </w:pPr>
            <w:r>
              <w:rPr>
                <w:rFonts w:hint="default" w:ascii="Times New Roman" w:hAnsi="Times New Roman" w:eastAsia="宋体" w:cs="Times New Roman"/>
                <w:kern w:val="0"/>
                <w:sz w:val="30"/>
                <w:szCs w:val="30"/>
                <w:highlight w:val="none"/>
                <w:lang w:bidi="ar"/>
              </w:rPr>
              <w:t>包</w:t>
            </w:r>
            <w:r>
              <w:rPr>
                <w:rFonts w:hint="default" w:ascii="Times New Roman" w:hAnsi="Times New Roman" w:cs="Times New Roman"/>
                <w:kern w:val="0"/>
                <w:sz w:val="30"/>
                <w:szCs w:val="30"/>
                <w:highlight w:val="none"/>
                <w:lang w:val="en-US" w:eastAsia="zh-CN" w:bidi="ar"/>
              </w:rPr>
              <w:t xml:space="preserve">   </w:t>
            </w:r>
            <w:r>
              <w:rPr>
                <w:rFonts w:hint="default" w:ascii="Times New Roman" w:hAnsi="Times New Roman" w:eastAsia="宋体" w:cs="Times New Roman"/>
                <w:kern w:val="0"/>
                <w:sz w:val="30"/>
                <w:szCs w:val="30"/>
                <w:highlight w:val="none"/>
                <w:lang w:bidi="ar"/>
              </w:rPr>
              <w:t xml:space="preserve"> 号：</w:t>
            </w:r>
          </w:p>
        </w:tc>
        <w:tc>
          <w:tcPr>
            <w:tcW w:w="6051" w:type="dxa"/>
            <w:shd w:val="clear" w:color="auto" w:fill="auto"/>
            <w:vAlign w:val="center"/>
          </w:tcPr>
          <w:p w14:paraId="42B141E9">
            <w:pPr>
              <w:pageBreakBefore w:val="0"/>
              <w:widowControl/>
              <w:kinsoku/>
              <w:overflowPunct/>
              <w:topLinePunct w:val="0"/>
              <w:autoSpaceDE/>
              <w:autoSpaceDN/>
              <w:bidi w:val="0"/>
              <w:spacing w:beforeAutospacing="0" w:afterAutospacing="0" w:line="240" w:lineRule="auto"/>
              <w:ind w:left="0" w:leftChars="0" w:right="0" w:firstLine="0" w:firstLineChars="0"/>
              <w:jc w:val="both"/>
              <w:rPr>
                <w:rFonts w:hint="default" w:ascii="Times New Roman" w:hAnsi="Times New Roman" w:eastAsia="宋体" w:cs="Times New Roman"/>
                <w:sz w:val="30"/>
                <w:szCs w:val="30"/>
                <w:highlight w:val="none"/>
              </w:rPr>
            </w:pPr>
            <w:r>
              <w:rPr>
                <w:rFonts w:hint="default" w:ascii="Times New Roman" w:hAnsi="Times New Roman" w:eastAsia="宋体" w:cs="Times New Roman"/>
                <w:kern w:val="0"/>
                <w:sz w:val="30"/>
                <w:szCs w:val="30"/>
                <w:highlight w:val="none"/>
                <w:lang w:bidi="ar"/>
              </w:rPr>
              <w:t>A</w:t>
            </w:r>
          </w:p>
        </w:tc>
      </w:tr>
      <w:tr w14:paraId="4650465F">
        <w:tblPrEx>
          <w:tblCellMar>
            <w:top w:w="45" w:type="dxa"/>
            <w:left w:w="45" w:type="dxa"/>
            <w:bottom w:w="45" w:type="dxa"/>
            <w:right w:w="45" w:type="dxa"/>
          </w:tblCellMar>
        </w:tblPrEx>
        <w:trPr>
          <w:trHeight w:val="802" w:hRule="atLeast"/>
          <w:tblCellSpacing w:w="0" w:type="dxa"/>
          <w:jc w:val="center"/>
        </w:trPr>
        <w:tc>
          <w:tcPr>
            <w:tcW w:w="1948" w:type="dxa"/>
            <w:shd w:val="clear" w:color="auto" w:fill="auto"/>
            <w:vAlign w:val="center"/>
          </w:tcPr>
          <w:p w14:paraId="2591255D">
            <w:pPr>
              <w:pageBreakBefore w:val="0"/>
              <w:widowControl/>
              <w:kinsoku/>
              <w:overflowPunct/>
              <w:topLinePunct w:val="0"/>
              <w:autoSpaceDE/>
              <w:autoSpaceDN/>
              <w:bidi w:val="0"/>
              <w:spacing w:beforeAutospacing="0" w:afterAutospacing="0" w:line="240" w:lineRule="auto"/>
              <w:ind w:left="0" w:leftChars="0" w:right="0" w:firstLine="0" w:firstLineChars="0"/>
              <w:jc w:val="left"/>
              <w:rPr>
                <w:rFonts w:hint="default" w:ascii="Times New Roman" w:hAnsi="Times New Roman" w:eastAsia="宋体" w:cs="Times New Roman"/>
                <w:sz w:val="30"/>
                <w:szCs w:val="30"/>
                <w:highlight w:val="none"/>
              </w:rPr>
            </w:pPr>
            <w:r>
              <w:rPr>
                <w:rFonts w:hint="default" w:ascii="Times New Roman" w:hAnsi="Times New Roman" w:eastAsia="宋体" w:cs="Times New Roman"/>
                <w:kern w:val="0"/>
                <w:sz w:val="30"/>
                <w:szCs w:val="30"/>
                <w:highlight w:val="none"/>
                <w:lang w:bidi="ar"/>
              </w:rPr>
              <w:t>项目类型：</w:t>
            </w:r>
          </w:p>
        </w:tc>
        <w:tc>
          <w:tcPr>
            <w:tcW w:w="6051" w:type="dxa"/>
            <w:shd w:val="clear" w:color="auto" w:fill="auto"/>
            <w:vAlign w:val="center"/>
          </w:tcPr>
          <w:p w14:paraId="2BEE7EEA">
            <w:pPr>
              <w:pageBreakBefore w:val="0"/>
              <w:widowControl/>
              <w:kinsoku/>
              <w:overflowPunct/>
              <w:topLinePunct w:val="0"/>
              <w:autoSpaceDE/>
              <w:autoSpaceDN/>
              <w:bidi w:val="0"/>
              <w:spacing w:beforeAutospacing="0" w:afterAutospacing="0" w:line="240" w:lineRule="auto"/>
              <w:ind w:left="0" w:leftChars="0" w:right="0" w:firstLine="0" w:firstLineChars="0"/>
              <w:jc w:val="both"/>
              <w:rPr>
                <w:rFonts w:hint="default" w:ascii="Times New Roman" w:hAnsi="Times New Roman" w:eastAsia="宋体" w:cs="Times New Roman"/>
                <w:sz w:val="30"/>
                <w:szCs w:val="30"/>
                <w:highlight w:val="none"/>
              </w:rPr>
            </w:pPr>
            <w:r>
              <w:rPr>
                <w:rFonts w:hint="eastAsia" w:cs="Times New Roman"/>
                <w:kern w:val="0"/>
                <w:sz w:val="30"/>
                <w:szCs w:val="30"/>
                <w:highlight w:val="none"/>
                <w:lang w:val="en-US" w:eastAsia="zh-CN" w:bidi="ar"/>
              </w:rPr>
              <w:t>服务</w:t>
            </w:r>
            <w:r>
              <w:rPr>
                <w:rFonts w:hint="default" w:ascii="Times New Roman" w:hAnsi="Times New Roman" w:eastAsia="宋体" w:cs="Times New Roman"/>
                <w:kern w:val="0"/>
                <w:sz w:val="30"/>
                <w:szCs w:val="30"/>
                <w:highlight w:val="none"/>
                <w:lang w:bidi="ar"/>
              </w:rPr>
              <w:t>类</w:t>
            </w:r>
          </w:p>
        </w:tc>
      </w:tr>
      <w:tr w14:paraId="49617352">
        <w:tblPrEx>
          <w:tblCellMar>
            <w:top w:w="45" w:type="dxa"/>
            <w:left w:w="45" w:type="dxa"/>
            <w:bottom w:w="45" w:type="dxa"/>
            <w:right w:w="45" w:type="dxa"/>
          </w:tblCellMar>
        </w:tblPrEx>
        <w:trPr>
          <w:trHeight w:val="802" w:hRule="atLeast"/>
          <w:tblCellSpacing w:w="0" w:type="dxa"/>
          <w:jc w:val="center"/>
        </w:trPr>
        <w:tc>
          <w:tcPr>
            <w:tcW w:w="1948" w:type="dxa"/>
            <w:shd w:val="clear" w:color="auto" w:fill="auto"/>
            <w:vAlign w:val="center"/>
          </w:tcPr>
          <w:p w14:paraId="477EEDD8">
            <w:pPr>
              <w:pageBreakBefore w:val="0"/>
              <w:widowControl/>
              <w:kinsoku/>
              <w:overflowPunct/>
              <w:topLinePunct w:val="0"/>
              <w:autoSpaceDE/>
              <w:autoSpaceDN/>
              <w:bidi w:val="0"/>
              <w:spacing w:beforeAutospacing="0" w:afterAutospacing="0" w:line="240" w:lineRule="auto"/>
              <w:ind w:left="0" w:leftChars="0" w:right="0" w:firstLine="0" w:firstLineChars="0"/>
              <w:jc w:val="left"/>
              <w:rPr>
                <w:rFonts w:hint="default" w:ascii="Times New Roman" w:hAnsi="Times New Roman" w:eastAsia="宋体" w:cs="Times New Roman"/>
                <w:sz w:val="30"/>
                <w:szCs w:val="30"/>
                <w:highlight w:val="none"/>
              </w:rPr>
            </w:pPr>
            <w:r>
              <w:rPr>
                <w:rFonts w:hint="default" w:ascii="Times New Roman" w:hAnsi="Times New Roman" w:eastAsia="宋体" w:cs="Times New Roman"/>
                <w:kern w:val="0"/>
                <w:sz w:val="30"/>
                <w:szCs w:val="30"/>
                <w:highlight w:val="none"/>
                <w:lang w:bidi="ar"/>
              </w:rPr>
              <w:t>采购方式：</w:t>
            </w:r>
          </w:p>
        </w:tc>
        <w:tc>
          <w:tcPr>
            <w:tcW w:w="6051" w:type="dxa"/>
            <w:shd w:val="clear" w:color="auto" w:fill="auto"/>
            <w:vAlign w:val="center"/>
          </w:tcPr>
          <w:p w14:paraId="1E205281">
            <w:pPr>
              <w:pageBreakBefore w:val="0"/>
              <w:widowControl/>
              <w:kinsoku/>
              <w:overflowPunct/>
              <w:topLinePunct w:val="0"/>
              <w:autoSpaceDE/>
              <w:autoSpaceDN/>
              <w:bidi w:val="0"/>
              <w:spacing w:beforeAutospacing="0" w:afterAutospacing="0" w:line="240" w:lineRule="auto"/>
              <w:ind w:left="0" w:leftChars="0" w:right="0" w:firstLine="0" w:firstLineChars="0"/>
              <w:jc w:val="both"/>
              <w:rPr>
                <w:rFonts w:hint="default" w:ascii="Times New Roman" w:hAnsi="Times New Roman" w:eastAsia="宋体" w:cs="Times New Roman"/>
                <w:sz w:val="30"/>
                <w:szCs w:val="30"/>
                <w:highlight w:val="none"/>
              </w:rPr>
            </w:pPr>
            <w:r>
              <w:rPr>
                <w:rFonts w:hint="default" w:ascii="Times New Roman" w:hAnsi="Times New Roman" w:eastAsia="宋体" w:cs="Times New Roman"/>
                <w:kern w:val="0"/>
                <w:sz w:val="30"/>
                <w:szCs w:val="30"/>
                <w:highlight w:val="none"/>
                <w:lang w:bidi="ar"/>
              </w:rPr>
              <w:t>公开招标</w:t>
            </w:r>
          </w:p>
        </w:tc>
      </w:tr>
      <w:tr w14:paraId="689E54CA">
        <w:tblPrEx>
          <w:tblCellMar>
            <w:top w:w="45" w:type="dxa"/>
            <w:left w:w="45" w:type="dxa"/>
            <w:bottom w:w="45" w:type="dxa"/>
            <w:right w:w="45" w:type="dxa"/>
          </w:tblCellMar>
        </w:tblPrEx>
        <w:trPr>
          <w:trHeight w:val="802" w:hRule="atLeast"/>
          <w:tblCellSpacing w:w="0" w:type="dxa"/>
          <w:jc w:val="center"/>
        </w:trPr>
        <w:tc>
          <w:tcPr>
            <w:tcW w:w="1948" w:type="dxa"/>
            <w:shd w:val="clear" w:color="auto" w:fill="auto"/>
            <w:vAlign w:val="center"/>
          </w:tcPr>
          <w:p w14:paraId="7B2F2C79">
            <w:pPr>
              <w:pageBreakBefore w:val="0"/>
              <w:widowControl/>
              <w:kinsoku/>
              <w:overflowPunct/>
              <w:topLinePunct w:val="0"/>
              <w:autoSpaceDE/>
              <w:autoSpaceDN/>
              <w:bidi w:val="0"/>
              <w:spacing w:beforeAutospacing="0" w:afterAutospacing="0" w:line="240" w:lineRule="auto"/>
              <w:ind w:left="0" w:leftChars="0" w:right="0" w:firstLine="0" w:firstLineChars="0"/>
              <w:jc w:val="left"/>
              <w:rPr>
                <w:rFonts w:hint="default" w:ascii="Times New Roman" w:hAnsi="Times New Roman" w:eastAsia="宋体" w:cs="Times New Roman"/>
                <w:sz w:val="30"/>
                <w:szCs w:val="30"/>
                <w:highlight w:val="none"/>
              </w:rPr>
            </w:pPr>
            <w:r>
              <w:rPr>
                <w:rFonts w:hint="default" w:ascii="Times New Roman" w:hAnsi="Times New Roman" w:eastAsia="宋体" w:cs="Times New Roman"/>
                <w:kern w:val="0"/>
                <w:sz w:val="30"/>
                <w:szCs w:val="30"/>
                <w:highlight w:val="none"/>
                <w:lang w:bidi="ar"/>
              </w:rPr>
              <w:t>货币类型：</w:t>
            </w:r>
          </w:p>
        </w:tc>
        <w:tc>
          <w:tcPr>
            <w:tcW w:w="6051" w:type="dxa"/>
            <w:shd w:val="clear" w:color="auto" w:fill="auto"/>
            <w:vAlign w:val="center"/>
          </w:tcPr>
          <w:p w14:paraId="44945C25">
            <w:pPr>
              <w:pageBreakBefore w:val="0"/>
              <w:widowControl/>
              <w:kinsoku/>
              <w:overflowPunct/>
              <w:topLinePunct w:val="0"/>
              <w:autoSpaceDE/>
              <w:autoSpaceDN/>
              <w:bidi w:val="0"/>
              <w:spacing w:beforeAutospacing="0" w:afterAutospacing="0" w:line="240" w:lineRule="auto"/>
              <w:ind w:left="0" w:leftChars="0" w:right="0" w:firstLine="0" w:firstLineChars="0"/>
              <w:jc w:val="both"/>
              <w:rPr>
                <w:rFonts w:hint="default" w:ascii="Times New Roman" w:hAnsi="Times New Roman" w:eastAsia="宋体" w:cs="Times New Roman"/>
                <w:sz w:val="30"/>
                <w:szCs w:val="30"/>
                <w:highlight w:val="none"/>
              </w:rPr>
            </w:pPr>
            <w:r>
              <w:rPr>
                <w:rFonts w:hint="default" w:ascii="Times New Roman" w:hAnsi="Times New Roman" w:eastAsia="宋体" w:cs="Times New Roman"/>
                <w:kern w:val="0"/>
                <w:sz w:val="30"/>
                <w:szCs w:val="30"/>
                <w:highlight w:val="none"/>
                <w:lang w:bidi="ar"/>
              </w:rPr>
              <w:t>人民币</w:t>
            </w:r>
          </w:p>
        </w:tc>
      </w:tr>
      <w:tr w14:paraId="5902947C">
        <w:tblPrEx>
          <w:tblCellMar>
            <w:top w:w="45" w:type="dxa"/>
            <w:left w:w="45" w:type="dxa"/>
            <w:bottom w:w="45" w:type="dxa"/>
            <w:right w:w="45" w:type="dxa"/>
          </w:tblCellMar>
        </w:tblPrEx>
        <w:trPr>
          <w:trHeight w:val="802" w:hRule="atLeast"/>
          <w:tblCellSpacing w:w="0" w:type="dxa"/>
          <w:jc w:val="center"/>
        </w:trPr>
        <w:tc>
          <w:tcPr>
            <w:tcW w:w="1948" w:type="dxa"/>
            <w:shd w:val="clear" w:color="auto" w:fill="auto"/>
            <w:vAlign w:val="center"/>
          </w:tcPr>
          <w:p w14:paraId="6989DA89">
            <w:pPr>
              <w:pageBreakBefore w:val="0"/>
              <w:widowControl/>
              <w:kinsoku/>
              <w:overflowPunct/>
              <w:topLinePunct w:val="0"/>
              <w:autoSpaceDE/>
              <w:autoSpaceDN/>
              <w:bidi w:val="0"/>
              <w:spacing w:beforeAutospacing="0" w:afterAutospacing="0" w:line="240" w:lineRule="auto"/>
              <w:ind w:left="0" w:leftChars="0" w:right="0" w:firstLine="0" w:firstLineChars="0"/>
              <w:jc w:val="left"/>
              <w:rPr>
                <w:rFonts w:hint="default" w:ascii="Times New Roman" w:hAnsi="Times New Roman" w:eastAsia="宋体" w:cs="Times New Roman"/>
                <w:sz w:val="30"/>
                <w:szCs w:val="30"/>
                <w:highlight w:val="none"/>
              </w:rPr>
            </w:pPr>
            <w:r>
              <w:rPr>
                <w:rFonts w:hint="default" w:ascii="Times New Roman" w:hAnsi="Times New Roman" w:eastAsia="宋体" w:cs="Times New Roman"/>
                <w:kern w:val="0"/>
                <w:sz w:val="30"/>
                <w:szCs w:val="30"/>
                <w:highlight w:val="none"/>
                <w:lang w:bidi="ar"/>
              </w:rPr>
              <w:t>评标方法：</w:t>
            </w:r>
          </w:p>
        </w:tc>
        <w:tc>
          <w:tcPr>
            <w:tcW w:w="6051" w:type="dxa"/>
            <w:shd w:val="clear" w:color="auto" w:fill="auto"/>
            <w:vAlign w:val="center"/>
          </w:tcPr>
          <w:p w14:paraId="085CD633">
            <w:pPr>
              <w:pageBreakBefore w:val="0"/>
              <w:widowControl/>
              <w:kinsoku/>
              <w:overflowPunct/>
              <w:topLinePunct w:val="0"/>
              <w:autoSpaceDE/>
              <w:autoSpaceDN/>
              <w:bidi w:val="0"/>
              <w:spacing w:beforeAutospacing="0" w:afterAutospacing="0" w:line="240" w:lineRule="auto"/>
              <w:ind w:left="0" w:leftChars="0" w:right="0" w:firstLine="0" w:firstLineChars="0"/>
              <w:jc w:val="both"/>
              <w:rPr>
                <w:rFonts w:hint="default" w:ascii="Times New Roman" w:hAnsi="Times New Roman" w:eastAsia="宋体" w:cs="Times New Roman"/>
                <w:sz w:val="30"/>
                <w:szCs w:val="30"/>
                <w:highlight w:val="none"/>
              </w:rPr>
            </w:pPr>
            <w:r>
              <w:rPr>
                <w:rFonts w:hint="default" w:ascii="Times New Roman" w:hAnsi="Times New Roman" w:eastAsia="宋体" w:cs="Times New Roman"/>
                <w:kern w:val="0"/>
                <w:sz w:val="30"/>
                <w:szCs w:val="30"/>
                <w:highlight w:val="none"/>
                <w:lang w:bidi="ar"/>
              </w:rPr>
              <w:t>综合评分法（新价格分算法）</w:t>
            </w:r>
          </w:p>
        </w:tc>
      </w:tr>
      <w:bookmarkEnd w:id="0"/>
    </w:tbl>
    <w:p w14:paraId="0CDBD8CD">
      <w:pPr>
        <w:pStyle w:val="40"/>
        <w:pageBreakBefore w:val="0"/>
        <w:widowControl/>
        <w:kinsoku/>
        <w:overflowPunct/>
        <w:topLinePunct w:val="0"/>
        <w:autoSpaceDE/>
        <w:autoSpaceDN/>
        <w:bidi w:val="0"/>
        <w:spacing w:beforeAutospacing="0" w:afterAutospacing="0" w:line="360" w:lineRule="auto"/>
        <w:ind w:left="0" w:leftChars="0" w:right="0" w:firstLine="0" w:firstLineChars="0"/>
        <w:jc w:val="center"/>
        <w:outlineLvl w:val="9"/>
        <w:rPr>
          <w:rFonts w:hint="default" w:ascii="Times New Roman" w:hAnsi="Times New Roman" w:eastAsia="宋体" w:cs="Times New Roman"/>
          <w:kern w:val="2"/>
          <w:sz w:val="40"/>
          <w:szCs w:val="40"/>
          <w:highlight w:val="none"/>
          <w:lang w:eastAsia="zh-CN"/>
        </w:rPr>
      </w:pPr>
    </w:p>
    <w:p w14:paraId="48D7CDB0">
      <w:pPr>
        <w:rPr>
          <w:rFonts w:hint="default" w:ascii="Times New Roman" w:hAnsi="Times New Roman" w:eastAsia="宋体" w:cs="Times New Roman"/>
          <w:kern w:val="2"/>
          <w:sz w:val="40"/>
          <w:szCs w:val="40"/>
          <w:highlight w:val="none"/>
          <w:lang w:eastAsia="zh-CN"/>
        </w:rPr>
      </w:pPr>
      <w:r>
        <w:rPr>
          <w:rFonts w:hint="default" w:ascii="Times New Roman" w:hAnsi="Times New Roman" w:eastAsia="宋体" w:cs="Times New Roman"/>
          <w:kern w:val="2"/>
          <w:sz w:val="40"/>
          <w:szCs w:val="40"/>
          <w:highlight w:val="none"/>
          <w:lang w:eastAsia="zh-CN"/>
        </w:rPr>
        <w:br w:type="page"/>
      </w:r>
    </w:p>
    <w:p w14:paraId="371E951B">
      <w:pPr>
        <w:pStyle w:val="40"/>
        <w:pageBreakBefore w:val="0"/>
        <w:widowControl/>
        <w:kinsoku/>
        <w:overflowPunct/>
        <w:topLinePunct w:val="0"/>
        <w:autoSpaceDE/>
        <w:autoSpaceDN/>
        <w:bidi w:val="0"/>
        <w:spacing w:beforeAutospacing="0" w:afterAutospacing="0" w:line="360" w:lineRule="auto"/>
        <w:ind w:left="0" w:leftChars="0" w:right="0" w:firstLine="0" w:firstLineChars="0"/>
        <w:jc w:val="center"/>
        <w:outlineLvl w:val="1"/>
        <w:rPr>
          <w:rFonts w:hint="default" w:ascii="Times New Roman" w:hAnsi="Times New Roman" w:eastAsia="宋体" w:cs="Times New Roman"/>
          <w:b/>
          <w:bCs/>
          <w:kern w:val="2"/>
          <w:sz w:val="40"/>
          <w:szCs w:val="40"/>
          <w:highlight w:val="none"/>
        </w:rPr>
      </w:pPr>
      <w:r>
        <w:rPr>
          <w:rFonts w:hint="default" w:ascii="Times New Roman" w:hAnsi="Times New Roman" w:eastAsia="宋体" w:cs="Times New Roman"/>
          <w:b/>
          <w:bCs/>
          <w:kern w:val="2"/>
          <w:sz w:val="40"/>
          <w:szCs w:val="40"/>
          <w:highlight w:val="none"/>
        </w:rPr>
        <w:t>资格性审查表</w:t>
      </w:r>
    </w:p>
    <w:tbl>
      <w:tblPr>
        <w:tblStyle w:val="45"/>
        <w:tblW w:w="9272"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20" w:type="dxa"/>
          <w:left w:w="108" w:type="dxa"/>
          <w:bottom w:w="20" w:type="dxa"/>
          <w:right w:w="108" w:type="dxa"/>
        </w:tblCellMar>
      </w:tblPr>
      <w:tblGrid>
        <w:gridCol w:w="794"/>
        <w:gridCol w:w="8478"/>
      </w:tblGrid>
      <w:tr w14:paraId="2CFB2A58">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20" w:type="dxa"/>
            <w:left w:w="108" w:type="dxa"/>
            <w:bottom w:w="20" w:type="dxa"/>
            <w:right w:w="108" w:type="dxa"/>
          </w:tblCellMar>
        </w:tblPrEx>
        <w:trPr>
          <w:trHeight w:val="324" w:hRule="atLeast"/>
          <w:jc w:val="center"/>
        </w:trPr>
        <w:tc>
          <w:tcPr>
            <w:tcW w:w="794" w:type="dxa"/>
            <w:tcBorders>
              <w:top w:val="single" w:color="000000" w:sz="8" w:space="0"/>
              <w:left w:val="single" w:color="000000" w:sz="8" w:space="0"/>
              <w:bottom w:val="single" w:color="000000" w:sz="8" w:space="0"/>
              <w:right w:val="single" w:color="000000" w:sz="8" w:space="0"/>
            </w:tcBorders>
            <w:shd w:val="clear" w:color="auto" w:fill="E6EFFA"/>
            <w:vAlign w:val="center"/>
          </w:tcPr>
          <w:p w14:paraId="4FC647B7">
            <w:pPr>
              <w:pageBreakBefore w:val="0"/>
              <w:widowControl/>
              <w:kinsoku/>
              <w:overflowPunct/>
              <w:topLinePunct w:val="0"/>
              <w:autoSpaceDE/>
              <w:autoSpaceDN/>
              <w:bidi w:val="0"/>
              <w:spacing w:beforeAutospacing="0" w:afterAutospacing="0" w:line="240" w:lineRule="auto"/>
              <w:ind w:left="0" w:leftChars="0" w:right="0" w:firstLine="0" w:firstLineChars="0"/>
              <w:jc w:val="center"/>
              <w:rPr>
                <w:rFonts w:hint="default" w:ascii="Times New Roman" w:hAnsi="Times New Roman" w:eastAsia="宋体" w:cs="Times New Roman"/>
                <w:sz w:val="28"/>
                <w:szCs w:val="28"/>
                <w:highlight w:val="none"/>
              </w:rPr>
            </w:pPr>
            <w:r>
              <w:rPr>
                <w:rFonts w:hint="default" w:ascii="Times New Roman" w:hAnsi="Times New Roman" w:eastAsia="宋体" w:cs="Times New Roman"/>
                <w:kern w:val="0"/>
                <w:sz w:val="28"/>
                <w:szCs w:val="28"/>
                <w:highlight w:val="none"/>
                <w:lang w:bidi="ar"/>
              </w:rPr>
              <w:t>序号</w:t>
            </w:r>
          </w:p>
        </w:tc>
        <w:tc>
          <w:tcPr>
            <w:tcW w:w="8478" w:type="dxa"/>
            <w:tcBorders>
              <w:top w:val="single" w:color="000000" w:sz="8" w:space="0"/>
              <w:left w:val="single" w:color="000000" w:sz="8" w:space="0"/>
              <w:bottom w:val="single" w:color="000000" w:sz="8" w:space="0"/>
              <w:right w:val="single" w:color="000000" w:sz="8" w:space="0"/>
            </w:tcBorders>
            <w:shd w:val="clear" w:color="auto" w:fill="E6EFFA"/>
            <w:vAlign w:val="center"/>
          </w:tcPr>
          <w:p w14:paraId="1634B2A9">
            <w:pPr>
              <w:pageBreakBefore w:val="0"/>
              <w:widowControl/>
              <w:kinsoku/>
              <w:overflowPunct/>
              <w:topLinePunct w:val="0"/>
              <w:autoSpaceDE/>
              <w:autoSpaceDN/>
              <w:bidi w:val="0"/>
              <w:spacing w:beforeAutospacing="0" w:afterAutospacing="0" w:line="240" w:lineRule="auto"/>
              <w:ind w:left="0" w:leftChars="0" w:right="0" w:firstLine="0" w:firstLineChars="0"/>
              <w:jc w:val="center"/>
              <w:rPr>
                <w:rFonts w:hint="default" w:ascii="Times New Roman" w:hAnsi="Times New Roman" w:eastAsia="宋体" w:cs="Times New Roman"/>
                <w:sz w:val="28"/>
                <w:szCs w:val="28"/>
                <w:highlight w:val="none"/>
              </w:rPr>
            </w:pPr>
            <w:r>
              <w:rPr>
                <w:rFonts w:hint="default" w:ascii="Times New Roman" w:hAnsi="Times New Roman" w:eastAsia="宋体" w:cs="Times New Roman"/>
                <w:kern w:val="0"/>
                <w:sz w:val="28"/>
                <w:szCs w:val="28"/>
                <w:highlight w:val="none"/>
                <w:lang w:bidi="ar"/>
              </w:rPr>
              <w:t>内容</w:t>
            </w:r>
          </w:p>
        </w:tc>
      </w:tr>
      <w:tr w14:paraId="404EC9EB">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20" w:type="dxa"/>
            <w:left w:w="108" w:type="dxa"/>
            <w:bottom w:w="20" w:type="dxa"/>
            <w:right w:w="108" w:type="dxa"/>
          </w:tblCellMar>
        </w:tblPrEx>
        <w:trPr>
          <w:trHeight w:val="709" w:hRule="atLeast"/>
          <w:jc w:val="center"/>
        </w:trPr>
        <w:tc>
          <w:tcPr>
            <w:tcW w:w="79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9EBA3AB">
            <w:pPr>
              <w:keepNext w:val="0"/>
              <w:keepLines w:val="0"/>
              <w:pageBreakBefore w:val="0"/>
              <w:widowControl w:val="0"/>
              <w:kinsoku/>
              <w:wordWrap/>
              <w:overflowPunct/>
              <w:topLinePunct w:val="0"/>
              <w:autoSpaceDE/>
              <w:autoSpaceDN/>
              <w:bidi w:val="0"/>
              <w:adjustRightInd/>
              <w:snapToGrid/>
              <w:spacing w:beforeAutospacing="0" w:afterAutospacing="0" w:line="240" w:lineRule="auto"/>
              <w:ind w:left="0" w:leftChars="0" w:right="0" w:rightChars="0" w:firstLine="0" w:firstLineChars="0"/>
              <w:jc w:val="center"/>
              <w:textAlignment w:val="auto"/>
              <w:rPr>
                <w:rFonts w:hint="default" w:ascii="Times New Roman" w:hAnsi="Times New Roman" w:eastAsia="宋体" w:cs="Times New Roman"/>
                <w:szCs w:val="21"/>
                <w:highlight w:val="none"/>
              </w:rPr>
            </w:pPr>
            <w:r>
              <w:rPr>
                <w:rFonts w:hint="default" w:ascii="Times New Roman" w:hAnsi="Times New Roman" w:eastAsia="宋体" w:cs="Times New Roman"/>
                <w:kern w:val="0"/>
                <w:szCs w:val="21"/>
                <w:highlight w:val="none"/>
                <w:vertAlign w:val="baseline"/>
                <w:lang w:val="en-US" w:eastAsia="zh-CN"/>
              </w:rPr>
              <w:t>1</w:t>
            </w:r>
          </w:p>
        </w:tc>
        <w:tc>
          <w:tcPr>
            <w:tcW w:w="8478" w:type="dxa"/>
            <w:tcBorders>
              <w:top w:val="single" w:color="000000" w:sz="8" w:space="0"/>
              <w:left w:val="single" w:color="000000" w:sz="8" w:space="0"/>
              <w:bottom w:val="single" w:color="000000" w:sz="8" w:space="0"/>
              <w:right w:val="single" w:color="000000" w:sz="8" w:space="0"/>
            </w:tcBorders>
            <w:shd w:val="clear" w:color="auto" w:fill="auto"/>
            <w:vAlign w:val="top"/>
          </w:tcPr>
          <w:p w14:paraId="39357E69">
            <w:pPr>
              <w:keepNext w:val="0"/>
              <w:keepLines w:val="0"/>
              <w:pageBreakBefore w:val="0"/>
              <w:widowControl w:val="0"/>
              <w:kinsoku/>
              <w:wordWrap/>
              <w:overflowPunct/>
              <w:topLinePunct w:val="0"/>
              <w:autoSpaceDE/>
              <w:autoSpaceDN/>
              <w:bidi w:val="0"/>
              <w:adjustRightInd/>
              <w:snapToGrid/>
              <w:spacing w:beforeAutospacing="0" w:afterAutospacing="0" w:line="240" w:lineRule="auto"/>
              <w:ind w:left="0" w:leftChars="0" w:right="0" w:rightChars="0" w:firstLine="0" w:firstLineChars="0"/>
              <w:textAlignment w:val="auto"/>
              <w:rPr>
                <w:rFonts w:hint="default" w:ascii="Times New Roman" w:hAnsi="Times New Roman" w:eastAsia="宋体" w:cs="Times New Roman"/>
                <w:kern w:val="0"/>
                <w:sz w:val="21"/>
                <w:szCs w:val="21"/>
                <w:highlight w:val="none"/>
                <w:lang w:val="en-US" w:eastAsia="zh-CN" w:bidi="ar-SA"/>
              </w:rPr>
            </w:pPr>
            <w:r>
              <w:rPr>
                <w:rFonts w:hint="eastAsia" w:ascii="Times New Roman" w:hAnsi="Times New Roman" w:eastAsia="宋体" w:cs="Times New Roman"/>
                <w:kern w:val="0"/>
                <w:sz w:val="21"/>
                <w:szCs w:val="21"/>
                <w:highlight w:val="none"/>
                <w:lang w:val="en-US" w:eastAsia="zh-CN" w:bidi="ar-SA"/>
              </w:rPr>
              <w:t>满足《中华人民共和国政府采购法》第二十二条第一款的条件；（由供应商在《政府采购投标及履约承诺函》中作出声明）；</w:t>
            </w:r>
          </w:p>
        </w:tc>
      </w:tr>
      <w:tr w14:paraId="64A0AAD3">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20" w:type="dxa"/>
            <w:left w:w="108" w:type="dxa"/>
            <w:bottom w:w="20" w:type="dxa"/>
            <w:right w:w="108" w:type="dxa"/>
          </w:tblCellMar>
        </w:tblPrEx>
        <w:trPr>
          <w:trHeight w:val="90" w:hRule="atLeast"/>
          <w:jc w:val="center"/>
        </w:trPr>
        <w:tc>
          <w:tcPr>
            <w:tcW w:w="79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AD0940A">
            <w:pPr>
              <w:keepNext w:val="0"/>
              <w:keepLines w:val="0"/>
              <w:pageBreakBefore w:val="0"/>
              <w:widowControl w:val="0"/>
              <w:kinsoku/>
              <w:wordWrap/>
              <w:overflowPunct/>
              <w:topLinePunct w:val="0"/>
              <w:autoSpaceDE/>
              <w:autoSpaceDN/>
              <w:bidi w:val="0"/>
              <w:adjustRightInd/>
              <w:snapToGrid/>
              <w:spacing w:beforeAutospacing="0" w:afterAutospacing="0" w:line="240" w:lineRule="auto"/>
              <w:ind w:left="0" w:leftChars="0" w:right="0" w:rightChars="0" w:firstLine="0" w:firstLineChars="0"/>
              <w:jc w:val="center"/>
              <w:textAlignment w:val="auto"/>
              <w:rPr>
                <w:rFonts w:hint="default" w:ascii="Times New Roman" w:hAnsi="Times New Roman" w:eastAsia="宋体" w:cs="Times New Roman"/>
                <w:kern w:val="0"/>
                <w:sz w:val="21"/>
                <w:szCs w:val="21"/>
                <w:highlight w:val="none"/>
                <w:lang w:val="en-US" w:eastAsia="zh-CN" w:bidi="ar"/>
              </w:rPr>
            </w:pPr>
            <w:r>
              <w:rPr>
                <w:rFonts w:hint="default" w:ascii="Times New Roman" w:hAnsi="Times New Roman" w:eastAsia="宋体" w:cs="Times New Roman"/>
                <w:kern w:val="0"/>
                <w:szCs w:val="21"/>
                <w:highlight w:val="none"/>
                <w:vertAlign w:val="baseline"/>
                <w:lang w:val="en-US" w:eastAsia="zh-CN"/>
              </w:rPr>
              <w:t>2</w:t>
            </w:r>
          </w:p>
        </w:tc>
        <w:tc>
          <w:tcPr>
            <w:tcW w:w="8478" w:type="dxa"/>
            <w:tcBorders>
              <w:top w:val="single" w:color="000000" w:sz="8" w:space="0"/>
              <w:left w:val="single" w:color="000000" w:sz="8" w:space="0"/>
              <w:bottom w:val="single" w:color="000000" w:sz="8" w:space="0"/>
              <w:right w:val="single" w:color="000000" w:sz="8" w:space="0"/>
            </w:tcBorders>
            <w:shd w:val="clear" w:color="auto" w:fill="auto"/>
            <w:vAlign w:val="top"/>
          </w:tcPr>
          <w:p w14:paraId="6DF300F6">
            <w:pPr>
              <w:pStyle w:val="40"/>
              <w:spacing w:before="0" w:beforeAutospacing="0" w:after="0" w:afterAutospacing="0" w:line="400" w:lineRule="exact"/>
              <w:rPr>
                <w:rFonts w:hint="default" w:ascii="Times New Roman" w:hAnsi="Times New Roman" w:eastAsia="宋体" w:cs="Times New Roman"/>
                <w:kern w:val="0"/>
                <w:sz w:val="21"/>
                <w:szCs w:val="21"/>
                <w:highlight w:val="none"/>
                <w:lang w:val="en-US" w:eastAsia="zh-CN" w:bidi="ar-SA"/>
              </w:rPr>
            </w:pPr>
            <w:r>
              <w:rPr>
                <w:rFonts w:hint="eastAsia" w:ascii="Times New Roman" w:hAnsi="Times New Roman" w:eastAsia="宋体" w:cs="Times New Roman"/>
                <w:kern w:val="0"/>
                <w:sz w:val="21"/>
                <w:szCs w:val="21"/>
                <w:highlight w:val="none"/>
                <w:lang w:val="en-US" w:eastAsia="zh-CN" w:bidi="ar-SA"/>
              </w:rPr>
              <w:t>落实政府采购政策需满足的资格要求：无；</w:t>
            </w:r>
          </w:p>
        </w:tc>
      </w:tr>
      <w:tr w14:paraId="1B7BCD06">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20" w:type="dxa"/>
            <w:left w:w="108" w:type="dxa"/>
            <w:bottom w:w="20" w:type="dxa"/>
            <w:right w:w="108" w:type="dxa"/>
          </w:tblCellMar>
        </w:tblPrEx>
        <w:trPr>
          <w:trHeight w:val="90" w:hRule="atLeast"/>
          <w:jc w:val="center"/>
        </w:trPr>
        <w:tc>
          <w:tcPr>
            <w:tcW w:w="79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E464105">
            <w:pPr>
              <w:keepNext w:val="0"/>
              <w:keepLines w:val="0"/>
              <w:pageBreakBefore w:val="0"/>
              <w:widowControl w:val="0"/>
              <w:kinsoku/>
              <w:wordWrap/>
              <w:overflowPunct/>
              <w:topLinePunct w:val="0"/>
              <w:autoSpaceDE/>
              <w:autoSpaceDN/>
              <w:bidi w:val="0"/>
              <w:adjustRightInd/>
              <w:snapToGrid/>
              <w:spacing w:beforeAutospacing="0" w:afterAutospacing="0" w:line="240" w:lineRule="auto"/>
              <w:ind w:left="0" w:leftChars="0" w:right="0" w:rightChars="0" w:firstLine="0" w:firstLineChars="0"/>
              <w:jc w:val="center"/>
              <w:textAlignment w:val="auto"/>
              <w:rPr>
                <w:rFonts w:hint="default" w:ascii="Times New Roman" w:hAnsi="Times New Roman" w:eastAsia="宋体" w:cs="Times New Roman"/>
                <w:kern w:val="0"/>
                <w:sz w:val="21"/>
                <w:szCs w:val="21"/>
                <w:highlight w:val="none"/>
                <w:lang w:val="en-US" w:eastAsia="zh-CN" w:bidi="ar"/>
              </w:rPr>
            </w:pPr>
            <w:r>
              <w:rPr>
                <w:rFonts w:hint="default" w:ascii="Times New Roman" w:hAnsi="Times New Roman" w:eastAsia="宋体" w:cs="Times New Roman"/>
                <w:kern w:val="0"/>
                <w:szCs w:val="21"/>
                <w:highlight w:val="none"/>
                <w:vertAlign w:val="baseline"/>
                <w:lang w:val="en-US" w:eastAsia="zh-CN"/>
              </w:rPr>
              <w:t>3</w:t>
            </w:r>
          </w:p>
        </w:tc>
        <w:tc>
          <w:tcPr>
            <w:tcW w:w="8478" w:type="dxa"/>
            <w:tcBorders>
              <w:top w:val="single" w:color="000000" w:sz="8" w:space="0"/>
              <w:left w:val="single" w:color="000000" w:sz="8" w:space="0"/>
              <w:bottom w:val="single" w:color="000000" w:sz="8" w:space="0"/>
              <w:right w:val="single" w:color="000000" w:sz="8" w:space="0"/>
            </w:tcBorders>
            <w:shd w:val="clear" w:color="auto" w:fill="auto"/>
            <w:vAlign w:val="top"/>
          </w:tcPr>
          <w:p w14:paraId="15E27DA6">
            <w:pPr>
              <w:keepNext w:val="0"/>
              <w:keepLines w:val="0"/>
              <w:pageBreakBefore w:val="0"/>
              <w:widowControl w:val="0"/>
              <w:kinsoku/>
              <w:wordWrap/>
              <w:overflowPunct/>
              <w:topLinePunct w:val="0"/>
              <w:autoSpaceDE/>
              <w:autoSpaceDN/>
              <w:bidi w:val="0"/>
              <w:adjustRightInd/>
              <w:snapToGrid/>
              <w:spacing w:beforeAutospacing="0" w:afterAutospacing="0" w:line="240" w:lineRule="auto"/>
              <w:ind w:left="0" w:leftChars="0" w:right="0" w:rightChars="0" w:firstLine="0" w:firstLineChars="0"/>
              <w:textAlignment w:val="auto"/>
              <w:rPr>
                <w:rFonts w:hint="default" w:ascii="Times New Roman" w:hAnsi="Times New Roman" w:eastAsia="宋体" w:cs="Times New Roman"/>
                <w:kern w:val="0"/>
                <w:szCs w:val="21"/>
                <w:highlight w:val="none"/>
                <w:lang w:val="en-US" w:eastAsia="zh-CN"/>
              </w:rPr>
            </w:pPr>
            <w:r>
              <w:rPr>
                <w:rFonts w:hint="eastAsia" w:ascii="Times New Roman" w:hAnsi="Times New Roman" w:eastAsia="宋体" w:cs="Times New Roman"/>
                <w:kern w:val="0"/>
                <w:szCs w:val="21"/>
                <w:highlight w:val="none"/>
                <w:lang w:val="en-US" w:eastAsia="zh-CN"/>
              </w:rPr>
              <w:t>本项目的特定资格要求：</w:t>
            </w:r>
          </w:p>
        </w:tc>
      </w:tr>
      <w:tr w14:paraId="4E3585C7">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20" w:type="dxa"/>
            <w:left w:w="108" w:type="dxa"/>
            <w:bottom w:w="20" w:type="dxa"/>
            <w:right w:w="108" w:type="dxa"/>
          </w:tblCellMar>
        </w:tblPrEx>
        <w:trPr>
          <w:trHeight w:val="90" w:hRule="atLeast"/>
          <w:jc w:val="center"/>
        </w:trPr>
        <w:tc>
          <w:tcPr>
            <w:tcW w:w="79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0C57F58">
            <w:pPr>
              <w:keepNext w:val="0"/>
              <w:keepLines w:val="0"/>
              <w:pageBreakBefore w:val="0"/>
              <w:widowControl w:val="0"/>
              <w:kinsoku/>
              <w:wordWrap/>
              <w:overflowPunct/>
              <w:topLinePunct w:val="0"/>
              <w:autoSpaceDE/>
              <w:autoSpaceDN/>
              <w:bidi w:val="0"/>
              <w:adjustRightInd/>
              <w:snapToGrid/>
              <w:spacing w:beforeAutospacing="0" w:afterAutospacing="0" w:line="240" w:lineRule="auto"/>
              <w:ind w:left="0" w:leftChars="0" w:right="0" w:rightChars="0" w:firstLine="0" w:firstLineChars="0"/>
              <w:jc w:val="center"/>
              <w:textAlignment w:val="auto"/>
              <w:rPr>
                <w:rFonts w:hint="default" w:ascii="Times New Roman" w:hAnsi="Times New Roman" w:eastAsia="宋体" w:cs="Times New Roman"/>
                <w:kern w:val="0"/>
                <w:sz w:val="21"/>
                <w:szCs w:val="21"/>
                <w:highlight w:val="none"/>
                <w:lang w:val="en-US" w:eastAsia="zh-CN" w:bidi="ar"/>
              </w:rPr>
            </w:pPr>
            <w:r>
              <w:rPr>
                <w:rFonts w:hint="eastAsia" w:cs="Times New Roman"/>
                <w:kern w:val="0"/>
                <w:szCs w:val="21"/>
                <w:highlight w:val="none"/>
                <w:vertAlign w:val="baseline"/>
                <w:lang w:val="en-US" w:eastAsia="zh-CN"/>
              </w:rPr>
              <w:t>3.1</w:t>
            </w:r>
          </w:p>
        </w:tc>
        <w:tc>
          <w:tcPr>
            <w:tcW w:w="8478" w:type="dxa"/>
            <w:tcBorders>
              <w:top w:val="single" w:color="000000" w:sz="8" w:space="0"/>
              <w:left w:val="single" w:color="000000" w:sz="8" w:space="0"/>
              <w:bottom w:val="single" w:color="000000" w:sz="8" w:space="0"/>
              <w:right w:val="single" w:color="000000" w:sz="8" w:space="0"/>
            </w:tcBorders>
            <w:shd w:val="clear" w:color="auto" w:fill="auto"/>
            <w:vAlign w:val="top"/>
          </w:tcPr>
          <w:p w14:paraId="62E39FA6">
            <w:pPr>
              <w:keepNext w:val="0"/>
              <w:keepLines w:val="0"/>
              <w:pageBreakBefore w:val="0"/>
              <w:widowControl w:val="0"/>
              <w:kinsoku/>
              <w:wordWrap/>
              <w:overflowPunct/>
              <w:topLinePunct w:val="0"/>
              <w:autoSpaceDE/>
              <w:autoSpaceDN/>
              <w:bidi w:val="0"/>
              <w:adjustRightInd/>
              <w:snapToGrid/>
              <w:spacing w:beforeAutospacing="0" w:afterAutospacing="0" w:line="240" w:lineRule="auto"/>
              <w:ind w:left="0" w:leftChars="0" w:right="0" w:rightChars="0" w:firstLine="0" w:firstLineChars="0"/>
              <w:textAlignment w:val="auto"/>
              <w:rPr>
                <w:rFonts w:hint="default" w:ascii="Times New Roman" w:hAnsi="Times New Roman" w:eastAsia="宋体" w:cs="Times New Roman"/>
                <w:kern w:val="0"/>
                <w:szCs w:val="21"/>
                <w:highlight w:val="none"/>
                <w:lang w:val="en-US" w:eastAsia="zh-CN"/>
              </w:rPr>
            </w:pPr>
            <w:r>
              <w:rPr>
                <w:rFonts w:hint="eastAsia" w:ascii="Times New Roman" w:hAnsi="Times New Roman" w:eastAsia="宋体" w:cs="Times New Roman"/>
                <w:kern w:val="0"/>
                <w:szCs w:val="21"/>
                <w:highlight w:val="none"/>
                <w:lang w:val="en-US" w:eastAsia="zh-CN"/>
              </w:rPr>
              <w:t>具有独立法人资格或是具有独立承担民事责任能力的其它组织（提供营业执照或事业单位法人证书等证明资料复印件，原件备查）</w:t>
            </w:r>
          </w:p>
        </w:tc>
      </w:tr>
      <w:tr w14:paraId="00DE630D">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20" w:type="dxa"/>
            <w:left w:w="108" w:type="dxa"/>
            <w:bottom w:w="20" w:type="dxa"/>
            <w:right w:w="108" w:type="dxa"/>
          </w:tblCellMar>
        </w:tblPrEx>
        <w:trPr>
          <w:trHeight w:val="1167" w:hRule="atLeast"/>
          <w:jc w:val="center"/>
        </w:trPr>
        <w:tc>
          <w:tcPr>
            <w:tcW w:w="79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2969D97">
            <w:pPr>
              <w:keepNext w:val="0"/>
              <w:keepLines w:val="0"/>
              <w:pageBreakBefore w:val="0"/>
              <w:widowControl w:val="0"/>
              <w:kinsoku/>
              <w:wordWrap/>
              <w:overflowPunct/>
              <w:topLinePunct w:val="0"/>
              <w:autoSpaceDE/>
              <w:autoSpaceDN/>
              <w:bidi w:val="0"/>
              <w:adjustRightInd/>
              <w:snapToGrid/>
              <w:spacing w:beforeAutospacing="0" w:afterAutospacing="0" w:line="240" w:lineRule="auto"/>
              <w:ind w:left="0" w:leftChars="0" w:right="0" w:rightChars="0" w:firstLine="0" w:firstLineChars="0"/>
              <w:jc w:val="center"/>
              <w:textAlignment w:val="auto"/>
              <w:rPr>
                <w:rFonts w:hint="default" w:ascii="Times New Roman" w:hAnsi="Times New Roman" w:eastAsia="宋体" w:cs="Times New Roman"/>
                <w:kern w:val="0"/>
                <w:sz w:val="21"/>
                <w:szCs w:val="21"/>
                <w:highlight w:val="none"/>
                <w:vertAlign w:val="baseline"/>
                <w:lang w:val="en-US" w:eastAsia="zh-CN" w:bidi="ar-SA"/>
              </w:rPr>
            </w:pPr>
            <w:r>
              <w:rPr>
                <w:rFonts w:hint="eastAsia" w:cs="Times New Roman"/>
                <w:kern w:val="0"/>
                <w:szCs w:val="21"/>
                <w:highlight w:val="none"/>
                <w:vertAlign w:val="baseline"/>
                <w:lang w:val="en-US" w:eastAsia="zh-CN"/>
              </w:rPr>
              <w:t>3.2</w:t>
            </w:r>
          </w:p>
        </w:tc>
        <w:tc>
          <w:tcPr>
            <w:tcW w:w="8478" w:type="dxa"/>
            <w:tcBorders>
              <w:top w:val="single" w:color="000000" w:sz="8" w:space="0"/>
              <w:left w:val="single" w:color="000000" w:sz="8" w:space="0"/>
              <w:bottom w:val="single" w:color="000000" w:sz="8" w:space="0"/>
              <w:right w:val="single" w:color="000000" w:sz="8" w:space="0"/>
            </w:tcBorders>
            <w:shd w:val="clear" w:color="auto" w:fill="auto"/>
            <w:vAlign w:val="top"/>
          </w:tcPr>
          <w:p w14:paraId="4AA7518B">
            <w:pPr>
              <w:keepNext w:val="0"/>
              <w:keepLines w:val="0"/>
              <w:pageBreakBefore w:val="0"/>
              <w:widowControl w:val="0"/>
              <w:kinsoku/>
              <w:wordWrap/>
              <w:overflowPunct/>
              <w:topLinePunct w:val="0"/>
              <w:autoSpaceDE/>
              <w:autoSpaceDN/>
              <w:bidi w:val="0"/>
              <w:adjustRightInd/>
              <w:snapToGrid/>
              <w:spacing w:beforeAutospacing="0" w:afterAutospacing="0" w:line="240" w:lineRule="auto"/>
              <w:ind w:left="0" w:leftChars="0" w:right="0" w:rightChars="0" w:firstLine="0" w:firstLineChars="0"/>
              <w:textAlignment w:val="auto"/>
              <w:rPr>
                <w:rFonts w:hint="eastAsia" w:ascii="Times New Roman" w:hAnsi="Times New Roman" w:eastAsia="宋体" w:cs="Times New Roman"/>
                <w:kern w:val="0"/>
                <w:sz w:val="21"/>
                <w:szCs w:val="21"/>
                <w:highlight w:val="none"/>
                <w:lang w:val="en-US" w:eastAsia="zh-CN" w:bidi="ar-SA"/>
              </w:rPr>
            </w:pPr>
            <w:r>
              <w:rPr>
                <w:rFonts w:hint="eastAsia" w:ascii="Times New Roman" w:hAnsi="Times New Roman" w:eastAsia="宋体" w:cs="Times New Roman"/>
                <w:kern w:val="0"/>
                <w:sz w:val="21"/>
                <w:szCs w:val="21"/>
                <w:highlight w:val="none"/>
                <w:lang w:val="en-US" w:eastAsia="zh-CN" w:bidi="ar-SA"/>
              </w:rPr>
              <w:t>投标截止时间前，投标人未被列入失信被执行人、重大税收违法案件当事人名单、政府采购严重违法失信行为记录名单（采购代理机构将通过“信用中国”网站（www.creditchina.gov.cn）、中国政府采购网（www.ccgp.gov.cn）及深圳市政府采购监管网（www.zfcg.sz.gov.cn）渠道查询相关主体信用记录）</w:t>
            </w:r>
          </w:p>
        </w:tc>
      </w:tr>
      <w:tr w14:paraId="79F41872">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20" w:type="dxa"/>
            <w:left w:w="108" w:type="dxa"/>
            <w:bottom w:w="20" w:type="dxa"/>
            <w:right w:w="108" w:type="dxa"/>
          </w:tblCellMar>
        </w:tblPrEx>
        <w:trPr>
          <w:trHeight w:val="90" w:hRule="atLeast"/>
          <w:jc w:val="center"/>
        </w:trPr>
        <w:tc>
          <w:tcPr>
            <w:tcW w:w="79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AD1B26D">
            <w:pPr>
              <w:keepNext w:val="0"/>
              <w:keepLines w:val="0"/>
              <w:pageBreakBefore w:val="0"/>
              <w:widowControl w:val="0"/>
              <w:kinsoku/>
              <w:wordWrap/>
              <w:overflowPunct/>
              <w:topLinePunct w:val="0"/>
              <w:autoSpaceDE/>
              <w:autoSpaceDN/>
              <w:bidi w:val="0"/>
              <w:adjustRightInd/>
              <w:snapToGrid/>
              <w:spacing w:beforeAutospacing="0" w:afterAutospacing="0" w:line="240" w:lineRule="auto"/>
              <w:ind w:left="0" w:leftChars="0" w:right="0" w:rightChars="0" w:firstLine="0" w:firstLineChars="0"/>
              <w:jc w:val="center"/>
              <w:textAlignment w:val="auto"/>
              <w:rPr>
                <w:rFonts w:hint="default" w:ascii="Times New Roman" w:hAnsi="Times New Roman" w:eastAsia="宋体" w:cs="Times New Roman"/>
                <w:kern w:val="0"/>
                <w:sz w:val="21"/>
                <w:szCs w:val="21"/>
                <w:highlight w:val="none"/>
                <w:lang w:val="en-US" w:eastAsia="zh-CN" w:bidi="ar"/>
              </w:rPr>
            </w:pPr>
            <w:r>
              <w:rPr>
                <w:rFonts w:hint="eastAsia" w:cs="Times New Roman"/>
                <w:kern w:val="0"/>
                <w:szCs w:val="21"/>
                <w:highlight w:val="none"/>
                <w:vertAlign w:val="baseline"/>
                <w:lang w:val="en-US" w:eastAsia="zh-CN"/>
              </w:rPr>
              <w:t>3.3</w:t>
            </w:r>
          </w:p>
        </w:tc>
        <w:tc>
          <w:tcPr>
            <w:tcW w:w="8478" w:type="dxa"/>
            <w:tcBorders>
              <w:top w:val="single" w:color="000000" w:sz="8" w:space="0"/>
              <w:left w:val="single" w:color="000000" w:sz="8" w:space="0"/>
              <w:bottom w:val="single" w:color="000000" w:sz="8" w:space="0"/>
              <w:right w:val="single" w:color="000000" w:sz="8" w:space="0"/>
            </w:tcBorders>
            <w:shd w:val="clear" w:color="auto" w:fill="auto"/>
            <w:vAlign w:val="top"/>
          </w:tcPr>
          <w:p w14:paraId="7776D2C6">
            <w:pPr>
              <w:keepNext w:val="0"/>
              <w:keepLines w:val="0"/>
              <w:pageBreakBefore w:val="0"/>
              <w:widowControl w:val="0"/>
              <w:kinsoku/>
              <w:wordWrap/>
              <w:overflowPunct/>
              <w:topLinePunct w:val="0"/>
              <w:autoSpaceDE/>
              <w:autoSpaceDN/>
              <w:bidi w:val="0"/>
              <w:adjustRightInd/>
              <w:snapToGrid/>
              <w:spacing w:beforeAutospacing="0" w:afterAutospacing="0" w:line="240" w:lineRule="auto"/>
              <w:ind w:left="0" w:leftChars="0" w:right="0" w:rightChars="0" w:firstLine="0" w:firstLineChars="0"/>
              <w:textAlignment w:val="auto"/>
              <w:rPr>
                <w:rFonts w:hint="default" w:ascii="Times New Roman" w:hAnsi="Times New Roman" w:eastAsia="宋体" w:cs="Times New Roman"/>
                <w:kern w:val="0"/>
                <w:sz w:val="21"/>
                <w:szCs w:val="21"/>
                <w:highlight w:val="none"/>
                <w:lang w:val="en-US" w:eastAsia="zh-CN" w:bidi="ar-SA"/>
              </w:rPr>
            </w:pPr>
            <w:r>
              <w:rPr>
                <w:rFonts w:hint="eastAsia" w:ascii="Times New Roman" w:hAnsi="Times New Roman" w:eastAsia="宋体" w:cs="Times New Roman"/>
                <w:kern w:val="0"/>
                <w:sz w:val="21"/>
                <w:szCs w:val="21"/>
                <w:highlight w:val="none"/>
                <w:lang w:val="en-US" w:eastAsia="zh-CN" w:bidi="ar-SA"/>
              </w:rPr>
              <w:t>参与本项目政府采购活动时不存在被有关部门禁止参与政府采购活动且在有效期内的情况（由供应商在《政府采购投标及履约承诺函》中作出声明）；</w:t>
            </w:r>
          </w:p>
        </w:tc>
      </w:tr>
      <w:tr w14:paraId="2F150B79">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20" w:type="dxa"/>
            <w:left w:w="108" w:type="dxa"/>
            <w:bottom w:w="20" w:type="dxa"/>
            <w:right w:w="108" w:type="dxa"/>
          </w:tblCellMar>
        </w:tblPrEx>
        <w:trPr>
          <w:trHeight w:val="90" w:hRule="atLeast"/>
          <w:jc w:val="center"/>
        </w:trPr>
        <w:tc>
          <w:tcPr>
            <w:tcW w:w="79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DD8095C">
            <w:pPr>
              <w:keepNext w:val="0"/>
              <w:keepLines w:val="0"/>
              <w:pageBreakBefore w:val="0"/>
              <w:widowControl w:val="0"/>
              <w:kinsoku/>
              <w:wordWrap/>
              <w:overflowPunct/>
              <w:topLinePunct w:val="0"/>
              <w:autoSpaceDE/>
              <w:autoSpaceDN/>
              <w:bidi w:val="0"/>
              <w:adjustRightInd/>
              <w:snapToGrid/>
              <w:spacing w:beforeAutospacing="0" w:afterAutospacing="0" w:line="240" w:lineRule="auto"/>
              <w:ind w:left="0" w:leftChars="0" w:right="0" w:rightChars="0" w:firstLine="0" w:firstLineChars="0"/>
              <w:jc w:val="center"/>
              <w:textAlignment w:val="auto"/>
              <w:rPr>
                <w:rFonts w:hint="default" w:ascii="Times New Roman" w:hAnsi="Times New Roman" w:eastAsia="宋体" w:cs="Times New Roman"/>
                <w:kern w:val="0"/>
                <w:sz w:val="21"/>
                <w:szCs w:val="21"/>
                <w:highlight w:val="none"/>
                <w:lang w:val="en-US" w:eastAsia="zh-CN" w:bidi="ar"/>
              </w:rPr>
            </w:pPr>
            <w:r>
              <w:rPr>
                <w:rFonts w:hint="eastAsia" w:cs="Times New Roman"/>
                <w:kern w:val="0"/>
                <w:szCs w:val="21"/>
                <w:highlight w:val="none"/>
                <w:vertAlign w:val="baseline"/>
                <w:lang w:val="en-US" w:eastAsia="zh-CN"/>
              </w:rPr>
              <w:t>3.4</w:t>
            </w:r>
          </w:p>
        </w:tc>
        <w:tc>
          <w:tcPr>
            <w:tcW w:w="8478" w:type="dxa"/>
            <w:tcBorders>
              <w:top w:val="single" w:color="000000" w:sz="8" w:space="0"/>
              <w:left w:val="single" w:color="000000" w:sz="8" w:space="0"/>
              <w:bottom w:val="single" w:color="000000" w:sz="8" w:space="0"/>
              <w:right w:val="single" w:color="000000" w:sz="8" w:space="0"/>
            </w:tcBorders>
            <w:shd w:val="clear" w:color="auto" w:fill="auto"/>
            <w:vAlign w:val="top"/>
          </w:tcPr>
          <w:p w14:paraId="407165C5">
            <w:pPr>
              <w:keepNext w:val="0"/>
              <w:keepLines w:val="0"/>
              <w:pageBreakBefore w:val="0"/>
              <w:widowControl w:val="0"/>
              <w:kinsoku/>
              <w:wordWrap/>
              <w:overflowPunct/>
              <w:topLinePunct w:val="0"/>
              <w:autoSpaceDE/>
              <w:autoSpaceDN/>
              <w:bidi w:val="0"/>
              <w:adjustRightInd/>
              <w:snapToGrid/>
              <w:spacing w:beforeAutospacing="0" w:afterAutospacing="0" w:line="240" w:lineRule="auto"/>
              <w:ind w:left="0" w:leftChars="0" w:right="0" w:rightChars="0" w:firstLine="0" w:firstLineChars="0"/>
              <w:textAlignment w:val="auto"/>
              <w:rPr>
                <w:rFonts w:hint="default" w:ascii="Times New Roman" w:hAnsi="Times New Roman" w:eastAsia="宋体" w:cs="Times New Roman"/>
                <w:kern w:val="0"/>
                <w:sz w:val="21"/>
                <w:szCs w:val="21"/>
                <w:highlight w:val="none"/>
                <w:lang w:val="en-US" w:eastAsia="zh-CN" w:bidi="ar-SA"/>
              </w:rPr>
            </w:pPr>
            <w:r>
              <w:rPr>
                <w:rFonts w:hint="eastAsia" w:ascii="Times New Roman" w:hAnsi="Times New Roman" w:eastAsia="宋体" w:cs="Times New Roman"/>
                <w:kern w:val="0"/>
                <w:sz w:val="21"/>
                <w:szCs w:val="21"/>
                <w:highlight w:val="none"/>
                <w:lang w:val="en-US" w:eastAsia="zh-CN" w:bidi="ar-SA"/>
              </w:rPr>
              <w:t>参与本项目投标前三年内，在经营活动中没有重大违法记录（由供应商在《政府采购投标及履约承诺函》中作出声明）；</w:t>
            </w:r>
          </w:p>
        </w:tc>
      </w:tr>
      <w:tr w14:paraId="4F35F195">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20" w:type="dxa"/>
            <w:left w:w="108" w:type="dxa"/>
            <w:bottom w:w="20" w:type="dxa"/>
            <w:right w:w="108" w:type="dxa"/>
          </w:tblCellMar>
        </w:tblPrEx>
        <w:trPr>
          <w:trHeight w:val="90" w:hRule="atLeast"/>
          <w:jc w:val="center"/>
        </w:trPr>
        <w:tc>
          <w:tcPr>
            <w:tcW w:w="79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6AD54FB">
            <w:pPr>
              <w:keepNext w:val="0"/>
              <w:keepLines w:val="0"/>
              <w:pageBreakBefore w:val="0"/>
              <w:widowControl w:val="0"/>
              <w:kinsoku/>
              <w:wordWrap/>
              <w:overflowPunct/>
              <w:topLinePunct w:val="0"/>
              <w:autoSpaceDE/>
              <w:autoSpaceDN/>
              <w:bidi w:val="0"/>
              <w:adjustRightInd/>
              <w:snapToGrid/>
              <w:spacing w:beforeAutospacing="0" w:afterAutospacing="0" w:line="240" w:lineRule="auto"/>
              <w:ind w:left="0" w:leftChars="0" w:right="0" w:rightChars="0" w:firstLine="0" w:firstLineChars="0"/>
              <w:jc w:val="center"/>
              <w:textAlignment w:val="auto"/>
              <w:rPr>
                <w:rFonts w:hint="default" w:cs="Times New Roman"/>
                <w:kern w:val="0"/>
                <w:szCs w:val="21"/>
                <w:highlight w:val="none"/>
                <w:vertAlign w:val="baseline"/>
                <w:lang w:val="en-US" w:eastAsia="zh-CN"/>
              </w:rPr>
            </w:pPr>
            <w:r>
              <w:rPr>
                <w:rFonts w:hint="eastAsia" w:cs="Times New Roman"/>
                <w:kern w:val="0"/>
                <w:szCs w:val="21"/>
                <w:highlight w:val="none"/>
                <w:vertAlign w:val="baseline"/>
                <w:lang w:val="en-US" w:eastAsia="zh-CN"/>
              </w:rPr>
              <w:t>3.5</w:t>
            </w:r>
          </w:p>
        </w:tc>
        <w:tc>
          <w:tcPr>
            <w:tcW w:w="8478" w:type="dxa"/>
            <w:tcBorders>
              <w:top w:val="single" w:color="000000" w:sz="8" w:space="0"/>
              <w:left w:val="single" w:color="000000" w:sz="8" w:space="0"/>
              <w:bottom w:val="single" w:color="000000" w:sz="8" w:space="0"/>
              <w:right w:val="single" w:color="000000" w:sz="8" w:space="0"/>
            </w:tcBorders>
            <w:shd w:val="clear" w:color="auto" w:fill="auto"/>
            <w:vAlign w:val="top"/>
          </w:tcPr>
          <w:p w14:paraId="762A51B7">
            <w:pPr>
              <w:keepNext w:val="0"/>
              <w:keepLines w:val="0"/>
              <w:pageBreakBefore w:val="0"/>
              <w:widowControl w:val="0"/>
              <w:kinsoku/>
              <w:wordWrap/>
              <w:overflowPunct/>
              <w:topLinePunct w:val="0"/>
              <w:autoSpaceDE/>
              <w:autoSpaceDN/>
              <w:bidi w:val="0"/>
              <w:adjustRightInd/>
              <w:snapToGrid/>
              <w:spacing w:beforeAutospacing="0" w:afterAutospacing="0" w:line="240" w:lineRule="auto"/>
              <w:ind w:left="0" w:leftChars="0" w:right="0" w:rightChars="0" w:firstLine="0" w:firstLineChars="0"/>
              <w:textAlignment w:val="auto"/>
              <w:rPr>
                <w:rFonts w:hint="eastAsia" w:ascii="Times New Roman" w:hAnsi="Times New Roman" w:eastAsia="宋体" w:cs="Times New Roman"/>
                <w:kern w:val="0"/>
                <w:sz w:val="21"/>
                <w:szCs w:val="21"/>
                <w:highlight w:val="none"/>
                <w:lang w:val="en-US" w:eastAsia="zh-CN" w:bidi="ar-SA"/>
              </w:rPr>
            </w:pPr>
            <w:r>
              <w:rPr>
                <w:rFonts w:hint="eastAsia" w:ascii="Times New Roman" w:hAnsi="Times New Roman" w:eastAsia="宋体" w:cs="Times New Roman"/>
                <w:kern w:val="0"/>
                <w:sz w:val="21"/>
                <w:szCs w:val="21"/>
                <w:highlight w:val="none"/>
                <w:lang w:val="en-US" w:eastAsia="zh-CN" w:bidi="ar-SA"/>
              </w:rPr>
              <w:t>本项目不接受联合体投标，不允许分包、转包。</w:t>
            </w:r>
          </w:p>
        </w:tc>
      </w:tr>
      <w:tr w14:paraId="292FF622">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20" w:type="dxa"/>
            <w:left w:w="108" w:type="dxa"/>
            <w:bottom w:w="20" w:type="dxa"/>
            <w:right w:w="108" w:type="dxa"/>
          </w:tblCellMar>
        </w:tblPrEx>
        <w:trPr>
          <w:trHeight w:val="90" w:hRule="atLeast"/>
          <w:jc w:val="center"/>
        </w:trPr>
        <w:tc>
          <w:tcPr>
            <w:tcW w:w="79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26F3F68">
            <w:pPr>
              <w:keepNext w:val="0"/>
              <w:keepLines w:val="0"/>
              <w:pageBreakBefore w:val="0"/>
              <w:widowControl w:val="0"/>
              <w:kinsoku/>
              <w:wordWrap/>
              <w:overflowPunct/>
              <w:topLinePunct w:val="0"/>
              <w:autoSpaceDE/>
              <w:autoSpaceDN/>
              <w:bidi w:val="0"/>
              <w:adjustRightInd/>
              <w:snapToGrid/>
              <w:spacing w:beforeAutospacing="0" w:afterAutospacing="0" w:line="240" w:lineRule="auto"/>
              <w:ind w:left="0" w:leftChars="0" w:right="0" w:rightChars="0" w:firstLine="0" w:firstLineChars="0"/>
              <w:jc w:val="center"/>
              <w:textAlignment w:val="auto"/>
              <w:rPr>
                <w:rFonts w:hint="default" w:cs="Times New Roman"/>
                <w:kern w:val="0"/>
                <w:szCs w:val="21"/>
                <w:highlight w:val="none"/>
                <w:vertAlign w:val="baseline"/>
                <w:lang w:val="en-US" w:eastAsia="zh-CN"/>
              </w:rPr>
            </w:pPr>
            <w:r>
              <w:rPr>
                <w:rFonts w:hint="eastAsia" w:cs="Times New Roman"/>
                <w:kern w:val="0"/>
                <w:szCs w:val="21"/>
                <w:highlight w:val="none"/>
                <w:vertAlign w:val="baseline"/>
                <w:lang w:val="en-US" w:eastAsia="zh-CN"/>
              </w:rPr>
              <w:t>3.6</w:t>
            </w:r>
          </w:p>
        </w:tc>
        <w:tc>
          <w:tcPr>
            <w:tcW w:w="8478" w:type="dxa"/>
            <w:tcBorders>
              <w:top w:val="single" w:color="000000" w:sz="8" w:space="0"/>
              <w:left w:val="single" w:color="000000" w:sz="8" w:space="0"/>
              <w:bottom w:val="single" w:color="000000" w:sz="8" w:space="0"/>
              <w:right w:val="single" w:color="000000" w:sz="8" w:space="0"/>
            </w:tcBorders>
            <w:shd w:val="clear" w:color="auto" w:fill="auto"/>
            <w:vAlign w:val="top"/>
          </w:tcPr>
          <w:p w14:paraId="5FC925B2">
            <w:pPr>
              <w:keepNext w:val="0"/>
              <w:keepLines w:val="0"/>
              <w:pageBreakBefore w:val="0"/>
              <w:widowControl w:val="0"/>
              <w:kinsoku/>
              <w:wordWrap/>
              <w:overflowPunct/>
              <w:topLinePunct w:val="0"/>
              <w:autoSpaceDE/>
              <w:autoSpaceDN/>
              <w:bidi w:val="0"/>
              <w:adjustRightInd/>
              <w:snapToGrid/>
              <w:spacing w:beforeAutospacing="0" w:afterAutospacing="0" w:line="240" w:lineRule="auto"/>
              <w:ind w:left="0" w:leftChars="0" w:right="0" w:rightChars="0" w:firstLine="0" w:firstLineChars="0"/>
              <w:textAlignment w:val="auto"/>
              <w:rPr>
                <w:rFonts w:hint="eastAsia" w:ascii="Times New Roman" w:hAnsi="Times New Roman" w:eastAsia="宋体" w:cs="Times New Roman"/>
                <w:kern w:val="0"/>
                <w:sz w:val="21"/>
                <w:szCs w:val="21"/>
                <w:highlight w:val="none"/>
                <w:lang w:val="en-US" w:eastAsia="zh-CN" w:bidi="ar-SA"/>
              </w:rPr>
            </w:pPr>
            <w:r>
              <w:rPr>
                <w:rFonts w:hint="eastAsia" w:ascii="Times New Roman" w:hAnsi="Times New Roman" w:eastAsia="宋体" w:cs="Times New Roman"/>
                <w:kern w:val="0"/>
                <w:sz w:val="21"/>
                <w:szCs w:val="21"/>
                <w:highlight w:val="none"/>
                <w:lang w:val="en-US" w:eastAsia="zh-CN" w:bidi="ar-SA"/>
              </w:rPr>
              <w:t>不同供应商的法定代表人、主要经营负责人、项目投标授权代表人、项目负责人、主要技术人员不得为同一人、属同一单位或者在同一单位缴纳社会保险；不同投标供应商的投标文件不得由同一单位或者同一人编制；单位负责人为同一人或者存在直接控股、管理关系的不同供应商，不得参加本项目政府采购活动。提供《供应商基本情况表》及相关人员近3个月内的任意一个月社保缴交凭证证明（由供应商填写《供应商基本情况表》相关信息）。</w:t>
            </w:r>
          </w:p>
        </w:tc>
      </w:tr>
      <w:tr w14:paraId="478291BD">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20" w:type="dxa"/>
            <w:left w:w="108" w:type="dxa"/>
            <w:bottom w:w="20" w:type="dxa"/>
            <w:right w:w="108" w:type="dxa"/>
          </w:tblCellMar>
        </w:tblPrEx>
        <w:trPr>
          <w:trHeight w:val="90" w:hRule="atLeast"/>
          <w:jc w:val="center"/>
        </w:trPr>
        <w:tc>
          <w:tcPr>
            <w:tcW w:w="79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F0DBFD7">
            <w:pPr>
              <w:keepNext w:val="0"/>
              <w:keepLines w:val="0"/>
              <w:pageBreakBefore w:val="0"/>
              <w:widowControl w:val="0"/>
              <w:kinsoku/>
              <w:wordWrap/>
              <w:overflowPunct/>
              <w:topLinePunct w:val="0"/>
              <w:autoSpaceDE/>
              <w:autoSpaceDN/>
              <w:bidi w:val="0"/>
              <w:adjustRightInd/>
              <w:snapToGrid/>
              <w:spacing w:beforeAutospacing="0" w:afterAutospacing="0" w:line="240" w:lineRule="auto"/>
              <w:ind w:left="0" w:leftChars="0" w:right="0" w:rightChars="0" w:firstLine="0" w:firstLineChars="0"/>
              <w:jc w:val="center"/>
              <w:textAlignment w:val="auto"/>
              <w:rPr>
                <w:rFonts w:hint="eastAsia" w:cs="Times New Roman"/>
                <w:kern w:val="0"/>
                <w:szCs w:val="21"/>
                <w:highlight w:val="none"/>
                <w:vertAlign w:val="baseline"/>
                <w:lang w:val="en-US" w:eastAsia="zh-CN"/>
              </w:rPr>
            </w:pPr>
          </w:p>
        </w:tc>
        <w:tc>
          <w:tcPr>
            <w:tcW w:w="8478" w:type="dxa"/>
            <w:tcBorders>
              <w:top w:val="single" w:color="000000" w:sz="8" w:space="0"/>
              <w:left w:val="single" w:color="000000" w:sz="8" w:space="0"/>
              <w:bottom w:val="single" w:color="000000" w:sz="8" w:space="0"/>
              <w:right w:val="single" w:color="000000" w:sz="8" w:space="0"/>
            </w:tcBorders>
            <w:shd w:val="clear" w:color="auto" w:fill="auto"/>
            <w:vAlign w:val="top"/>
          </w:tcPr>
          <w:p w14:paraId="0020CEF8">
            <w:pPr>
              <w:keepNext w:val="0"/>
              <w:keepLines w:val="0"/>
              <w:pageBreakBefore w:val="0"/>
              <w:widowControl w:val="0"/>
              <w:kinsoku/>
              <w:wordWrap/>
              <w:overflowPunct/>
              <w:topLinePunct w:val="0"/>
              <w:autoSpaceDE/>
              <w:autoSpaceDN/>
              <w:bidi w:val="0"/>
              <w:adjustRightInd/>
              <w:snapToGrid/>
              <w:spacing w:beforeAutospacing="0" w:afterAutospacing="0" w:line="240" w:lineRule="auto"/>
              <w:ind w:left="0" w:leftChars="0" w:right="0" w:rightChars="0" w:firstLine="0" w:firstLineChars="0"/>
              <w:textAlignment w:val="auto"/>
              <w:rPr>
                <w:rFonts w:hint="eastAsia" w:ascii="Times New Roman" w:hAnsi="Times New Roman" w:eastAsia="宋体" w:cs="Times New Roman"/>
                <w:kern w:val="0"/>
                <w:sz w:val="21"/>
                <w:szCs w:val="21"/>
                <w:highlight w:val="none"/>
                <w:lang w:val="en-US" w:eastAsia="zh-CN" w:bidi="ar-SA"/>
              </w:rPr>
            </w:pPr>
          </w:p>
        </w:tc>
      </w:tr>
    </w:tbl>
    <w:p w14:paraId="6A3FC920">
      <w:pPr>
        <w:pStyle w:val="40"/>
        <w:pageBreakBefore w:val="0"/>
        <w:widowControl/>
        <w:kinsoku/>
        <w:overflowPunct/>
        <w:topLinePunct w:val="0"/>
        <w:autoSpaceDE/>
        <w:autoSpaceDN/>
        <w:bidi w:val="0"/>
        <w:spacing w:beforeAutospacing="0" w:afterAutospacing="0" w:line="360" w:lineRule="auto"/>
        <w:ind w:left="0" w:leftChars="0" w:right="0" w:firstLine="0" w:firstLineChars="0"/>
        <w:jc w:val="center"/>
        <w:outlineLvl w:val="1"/>
        <w:rPr>
          <w:rFonts w:hint="default" w:ascii="Times New Roman" w:hAnsi="Times New Roman" w:eastAsia="宋体" w:cs="Times New Roman"/>
          <w:b/>
          <w:bCs/>
          <w:kern w:val="2"/>
          <w:sz w:val="40"/>
          <w:szCs w:val="40"/>
          <w:highlight w:val="none"/>
        </w:rPr>
        <w:sectPr>
          <w:headerReference r:id="rId3" w:type="default"/>
          <w:footerReference r:id="rId4" w:type="default"/>
          <w:pgSz w:w="11900" w:h="16880"/>
          <w:pgMar w:top="1440" w:right="1800" w:bottom="1440" w:left="1800" w:header="0" w:footer="0" w:gutter="0"/>
          <w:cols w:space="720" w:num="1"/>
        </w:sectPr>
      </w:pPr>
    </w:p>
    <w:p w14:paraId="3DA9AA2C">
      <w:pPr>
        <w:pStyle w:val="40"/>
        <w:pageBreakBefore w:val="0"/>
        <w:widowControl/>
        <w:kinsoku/>
        <w:overflowPunct/>
        <w:topLinePunct w:val="0"/>
        <w:autoSpaceDE/>
        <w:autoSpaceDN/>
        <w:bidi w:val="0"/>
        <w:spacing w:beforeAutospacing="0" w:afterAutospacing="0" w:line="360" w:lineRule="auto"/>
        <w:ind w:left="0" w:leftChars="0" w:right="0" w:firstLine="0" w:firstLineChars="0"/>
        <w:jc w:val="center"/>
        <w:outlineLvl w:val="1"/>
        <w:rPr>
          <w:rFonts w:hint="default" w:ascii="Times New Roman" w:hAnsi="Times New Roman" w:eastAsia="宋体" w:cs="Times New Roman"/>
          <w:b/>
          <w:bCs/>
          <w:kern w:val="2"/>
          <w:sz w:val="40"/>
          <w:szCs w:val="40"/>
          <w:highlight w:val="none"/>
        </w:rPr>
      </w:pPr>
      <w:r>
        <w:rPr>
          <w:rFonts w:hint="default" w:ascii="Times New Roman" w:hAnsi="Times New Roman" w:eastAsia="宋体" w:cs="Times New Roman"/>
          <w:b/>
          <w:bCs/>
          <w:kern w:val="2"/>
          <w:sz w:val="40"/>
          <w:szCs w:val="40"/>
          <w:highlight w:val="none"/>
        </w:rPr>
        <w:t>符合性审查表</w:t>
      </w:r>
    </w:p>
    <w:tbl>
      <w:tblPr>
        <w:tblStyle w:val="45"/>
        <w:tblW w:w="9078"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20" w:type="dxa"/>
          <w:left w:w="108" w:type="dxa"/>
          <w:bottom w:w="20" w:type="dxa"/>
          <w:right w:w="108" w:type="dxa"/>
        </w:tblCellMar>
      </w:tblPr>
      <w:tblGrid>
        <w:gridCol w:w="794"/>
        <w:gridCol w:w="8284"/>
      </w:tblGrid>
      <w:tr w14:paraId="236D65F1">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20" w:type="dxa"/>
            <w:left w:w="108" w:type="dxa"/>
            <w:bottom w:w="20" w:type="dxa"/>
            <w:right w:w="108" w:type="dxa"/>
          </w:tblCellMar>
        </w:tblPrEx>
        <w:trPr>
          <w:jc w:val="center"/>
        </w:trPr>
        <w:tc>
          <w:tcPr>
            <w:tcW w:w="794" w:type="dxa"/>
            <w:tcBorders>
              <w:top w:val="single" w:color="000000" w:sz="8" w:space="0"/>
              <w:left w:val="single" w:color="000000" w:sz="8" w:space="0"/>
              <w:bottom w:val="single" w:color="000000" w:sz="8" w:space="0"/>
              <w:right w:val="single" w:color="000000" w:sz="8" w:space="0"/>
            </w:tcBorders>
            <w:shd w:val="clear" w:color="auto" w:fill="E6EFFA"/>
            <w:vAlign w:val="center"/>
          </w:tcPr>
          <w:p w14:paraId="429FA66B">
            <w:pPr>
              <w:pageBreakBefore w:val="0"/>
              <w:widowControl/>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sz w:val="28"/>
                <w:szCs w:val="28"/>
                <w:highlight w:val="none"/>
              </w:rPr>
            </w:pPr>
            <w:r>
              <w:rPr>
                <w:rFonts w:hint="default" w:ascii="Times New Roman" w:hAnsi="Times New Roman" w:eastAsia="宋体" w:cs="Times New Roman"/>
                <w:kern w:val="0"/>
                <w:sz w:val="28"/>
                <w:szCs w:val="28"/>
                <w:highlight w:val="none"/>
                <w:lang w:bidi="ar"/>
              </w:rPr>
              <w:t>序号</w:t>
            </w:r>
          </w:p>
        </w:tc>
        <w:tc>
          <w:tcPr>
            <w:tcW w:w="8284" w:type="dxa"/>
            <w:tcBorders>
              <w:top w:val="single" w:color="000000" w:sz="8" w:space="0"/>
              <w:left w:val="single" w:color="000000" w:sz="8" w:space="0"/>
              <w:bottom w:val="single" w:color="000000" w:sz="8" w:space="0"/>
              <w:right w:val="single" w:color="000000" w:sz="8" w:space="0"/>
            </w:tcBorders>
            <w:shd w:val="clear" w:color="auto" w:fill="E6EFFA"/>
            <w:vAlign w:val="center"/>
          </w:tcPr>
          <w:p w14:paraId="23F9C78D">
            <w:pPr>
              <w:pageBreakBefore w:val="0"/>
              <w:widowControl/>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sz w:val="28"/>
                <w:szCs w:val="28"/>
                <w:highlight w:val="none"/>
              </w:rPr>
            </w:pPr>
            <w:r>
              <w:rPr>
                <w:rFonts w:hint="default" w:ascii="Times New Roman" w:hAnsi="Times New Roman" w:eastAsia="宋体" w:cs="Times New Roman"/>
                <w:kern w:val="0"/>
                <w:sz w:val="28"/>
                <w:szCs w:val="28"/>
                <w:highlight w:val="none"/>
                <w:lang w:bidi="ar"/>
              </w:rPr>
              <w:t>内容</w:t>
            </w:r>
          </w:p>
        </w:tc>
      </w:tr>
      <w:tr w14:paraId="196BB5FD">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20" w:type="dxa"/>
            <w:left w:w="108" w:type="dxa"/>
            <w:bottom w:w="20" w:type="dxa"/>
            <w:right w:w="108" w:type="dxa"/>
          </w:tblCellMar>
        </w:tblPrEx>
        <w:trPr>
          <w:jc w:val="center"/>
        </w:trPr>
        <w:tc>
          <w:tcPr>
            <w:tcW w:w="79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65F0034">
            <w:pPr>
              <w:pageBreakBefore w:val="0"/>
              <w:widowControl/>
              <w:kinsoku/>
              <w:overflowPunct/>
              <w:topLinePunct w:val="0"/>
              <w:autoSpaceDE/>
              <w:autoSpaceDN/>
              <w:bidi w:val="0"/>
              <w:spacing w:beforeAutospacing="0" w:afterAutospacing="0" w:line="360" w:lineRule="auto"/>
              <w:ind w:left="0" w:leftChars="0" w:right="0" w:firstLine="0" w:firstLineChars="0"/>
              <w:jc w:val="center"/>
              <w:textAlignment w:val="top"/>
              <w:rPr>
                <w:rFonts w:hint="default" w:ascii="Times New Roman" w:hAnsi="Times New Roman" w:eastAsia="宋体" w:cs="Times New Roman"/>
                <w:szCs w:val="21"/>
                <w:highlight w:val="none"/>
              </w:rPr>
            </w:pPr>
            <w:r>
              <w:rPr>
                <w:rFonts w:hint="default" w:ascii="Times New Roman" w:hAnsi="Times New Roman" w:eastAsia="宋体" w:cs="Times New Roman"/>
                <w:kern w:val="0"/>
                <w:szCs w:val="21"/>
                <w:highlight w:val="none"/>
                <w:lang w:bidi="ar"/>
              </w:rPr>
              <w:t>1</w:t>
            </w:r>
          </w:p>
        </w:tc>
        <w:tc>
          <w:tcPr>
            <w:tcW w:w="8284" w:type="dxa"/>
            <w:tcBorders>
              <w:top w:val="single" w:color="000000" w:sz="8" w:space="0"/>
              <w:left w:val="single" w:color="000000" w:sz="8" w:space="0"/>
              <w:bottom w:val="single" w:color="000000" w:sz="8" w:space="0"/>
              <w:right w:val="single" w:color="000000" w:sz="8" w:space="0"/>
            </w:tcBorders>
            <w:shd w:val="clear" w:color="auto" w:fill="auto"/>
          </w:tcPr>
          <w:p w14:paraId="32DDC2C5">
            <w:pPr>
              <w:pageBreakBefore w:val="0"/>
              <w:widowControl/>
              <w:kinsoku/>
              <w:overflowPunct/>
              <w:topLinePunct w:val="0"/>
              <w:autoSpaceDE/>
              <w:autoSpaceDN/>
              <w:bidi w:val="0"/>
              <w:spacing w:beforeAutospacing="0" w:afterAutospacing="0" w:line="360" w:lineRule="auto"/>
              <w:ind w:left="0" w:leftChars="0" w:right="0" w:firstLine="0" w:firstLineChars="0"/>
              <w:jc w:val="left"/>
              <w:textAlignment w:val="top"/>
              <w:rPr>
                <w:rFonts w:hint="default" w:ascii="Times New Roman" w:hAnsi="Times New Roman" w:eastAsia="宋体" w:cs="Times New Roman"/>
                <w:szCs w:val="21"/>
                <w:highlight w:val="none"/>
              </w:rPr>
            </w:pPr>
            <w:r>
              <w:rPr>
                <w:rFonts w:hint="default" w:ascii="Times New Roman" w:hAnsi="Times New Roman" w:eastAsia="宋体" w:cs="Times New Roman"/>
                <w:highlight w:val="none"/>
              </w:rPr>
              <w:t>将一个包或一个标段的内容拆开投标；</w:t>
            </w:r>
          </w:p>
        </w:tc>
      </w:tr>
      <w:tr w14:paraId="60EF3E15">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20" w:type="dxa"/>
            <w:left w:w="108" w:type="dxa"/>
            <w:bottom w:w="20" w:type="dxa"/>
            <w:right w:w="108" w:type="dxa"/>
          </w:tblCellMar>
        </w:tblPrEx>
        <w:trPr>
          <w:jc w:val="center"/>
        </w:trPr>
        <w:tc>
          <w:tcPr>
            <w:tcW w:w="79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EBCFD10">
            <w:pPr>
              <w:pageBreakBefore w:val="0"/>
              <w:widowControl/>
              <w:kinsoku/>
              <w:overflowPunct/>
              <w:topLinePunct w:val="0"/>
              <w:autoSpaceDE/>
              <w:autoSpaceDN/>
              <w:bidi w:val="0"/>
              <w:spacing w:beforeAutospacing="0" w:afterAutospacing="0" w:line="360" w:lineRule="auto"/>
              <w:ind w:left="0" w:leftChars="0" w:right="0" w:firstLine="0" w:firstLineChars="0"/>
              <w:jc w:val="center"/>
              <w:textAlignment w:val="top"/>
              <w:rPr>
                <w:rFonts w:hint="default" w:ascii="Times New Roman" w:hAnsi="Times New Roman" w:eastAsia="宋体" w:cs="Times New Roman"/>
                <w:szCs w:val="21"/>
                <w:highlight w:val="none"/>
              </w:rPr>
            </w:pPr>
            <w:r>
              <w:rPr>
                <w:rFonts w:hint="default" w:ascii="Times New Roman" w:hAnsi="Times New Roman" w:eastAsia="宋体" w:cs="Times New Roman"/>
                <w:kern w:val="0"/>
                <w:szCs w:val="21"/>
                <w:highlight w:val="none"/>
                <w:lang w:bidi="ar"/>
              </w:rPr>
              <w:t>2</w:t>
            </w:r>
          </w:p>
        </w:tc>
        <w:tc>
          <w:tcPr>
            <w:tcW w:w="8284" w:type="dxa"/>
            <w:tcBorders>
              <w:top w:val="single" w:color="000000" w:sz="8" w:space="0"/>
              <w:left w:val="single" w:color="000000" w:sz="8" w:space="0"/>
              <w:bottom w:val="single" w:color="000000" w:sz="8" w:space="0"/>
              <w:right w:val="single" w:color="000000" w:sz="8" w:space="0"/>
            </w:tcBorders>
            <w:shd w:val="clear" w:color="auto" w:fill="auto"/>
          </w:tcPr>
          <w:p w14:paraId="4A0D8C30">
            <w:pPr>
              <w:pageBreakBefore w:val="0"/>
              <w:widowControl/>
              <w:kinsoku/>
              <w:overflowPunct/>
              <w:topLinePunct w:val="0"/>
              <w:autoSpaceDE/>
              <w:autoSpaceDN/>
              <w:bidi w:val="0"/>
              <w:spacing w:beforeAutospacing="0" w:afterAutospacing="0" w:line="360" w:lineRule="auto"/>
              <w:ind w:left="0" w:leftChars="0" w:right="0" w:firstLine="0" w:firstLineChars="0"/>
              <w:jc w:val="left"/>
              <w:textAlignment w:val="top"/>
              <w:rPr>
                <w:rFonts w:hint="default" w:ascii="Times New Roman" w:hAnsi="Times New Roman" w:eastAsia="宋体" w:cs="Times New Roman"/>
                <w:szCs w:val="21"/>
                <w:highlight w:val="none"/>
              </w:rPr>
            </w:pPr>
            <w:r>
              <w:rPr>
                <w:rFonts w:hint="default" w:ascii="Times New Roman" w:hAnsi="Times New Roman" w:eastAsia="宋体" w:cs="Times New Roman"/>
                <w:highlight w:val="none"/>
              </w:rPr>
              <w:t>对同一项目投标时，提供两套</w:t>
            </w:r>
            <w:r>
              <w:rPr>
                <w:rFonts w:hint="default" w:ascii="Times New Roman" w:hAnsi="Times New Roman" w:eastAsia="宋体" w:cs="Times New Roman"/>
                <w:highlight w:val="none"/>
                <w:lang w:eastAsia="zh-CN"/>
              </w:rPr>
              <w:t>（或</w:t>
            </w:r>
            <w:r>
              <w:rPr>
                <w:rFonts w:hint="default" w:ascii="Times New Roman" w:hAnsi="Times New Roman" w:eastAsia="宋体" w:cs="Times New Roman"/>
                <w:highlight w:val="none"/>
              </w:rPr>
              <w:t>以上</w:t>
            </w:r>
            <w:r>
              <w:rPr>
                <w:rFonts w:hint="default" w:ascii="Times New Roman" w:hAnsi="Times New Roman" w:eastAsia="宋体" w:cs="Times New Roman"/>
                <w:highlight w:val="none"/>
                <w:lang w:eastAsia="zh-CN"/>
              </w:rPr>
              <w:t>）</w:t>
            </w:r>
            <w:r>
              <w:rPr>
                <w:rFonts w:hint="default" w:ascii="Times New Roman" w:hAnsi="Times New Roman" w:eastAsia="宋体" w:cs="Times New Roman"/>
                <w:highlight w:val="none"/>
              </w:rPr>
              <w:t>的投标方案（招标文件另有规定的除外）；</w:t>
            </w:r>
          </w:p>
        </w:tc>
      </w:tr>
      <w:tr w14:paraId="258E150D">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20" w:type="dxa"/>
            <w:left w:w="108" w:type="dxa"/>
            <w:bottom w:w="20" w:type="dxa"/>
            <w:right w:w="108" w:type="dxa"/>
          </w:tblCellMar>
        </w:tblPrEx>
        <w:trPr>
          <w:jc w:val="center"/>
        </w:trPr>
        <w:tc>
          <w:tcPr>
            <w:tcW w:w="79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20B0F28">
            <w:pPr>
              <w:pageBreakBefore w:val="0"/>
              <w:widowControl/>
              <w:kinsoku/>
              <w:overflowPunct/>
              <w:topLinePunct w:val="0"/>
              <w:autoSpaceDE/>
              <w:autoSpaceDN/>
              <w:bidi w:val="0"/>
              <w:spacing w:beforeAutospacing="0" w:afterAutospacing="0" w:line="360" w:lineRule="auto"/>
              <w:ind w:left="0" w:leftChars="0" w:right="0" w:firstLine="0" w:firstLineChars="0"/>
              <w:jc w:val="center"/>
              <w:textAlignment w:val="top"/>
              <w:rPr>
                <w:rFonts w:hint="default" w:ascii="Times New Roman" w:hAnsi="Times New Roman" w:eastAsia="宋体" w:cs="Times New Roman"/>
                <w:szCs w:val="21"/>
                <w:highlight w:val="none"/>
              </w:rPr>
            </w:pPr>
            <w:r>
              <w:rPr>
                <w:rFonts w:hint="default" w:ascii="Times New Roman" w:hAnsi="Times New Roman" w:eastAsia="宋体" w:cs="Times New Roman"/>
                <w:kern w:val="0"/>
                <w:szCs w:val="21"/>
                <w:highlight w:val="none"/>
                <w:lang w:bidi="ar"/>
              </w:rPr>
              <w:t>3</w:t>
            </w:r>
          </w:p>
        </w:tc>
        <w:tc>
          <w:tcPr>
            <w:tcW w:w="8284" w:type="dxa"/>
            <w:tcBorders>
              <w:top w:val="single" w:color="000000" w:sz="8" w:space="0"/>
              <w:left w:val="single" w:color="000000" w:sz="8" w:space="0"/>
              <w:bottom w:val="single" w:color="000000" w:sz="8" w:space="0"/>
              <w:right w:val="single" w:color="000000" w:sz="8" w:space="0"/>
            </w:tcBorders>
            <w:shd w:val="clear" w:color="auto" w:fill="auto"/>
          </w:tcPr>
          <w:p w14:paraId="130D22E4">
            <w:pPr>
              <w:pageBreakBefore w:val="0"/>
              <w:widowControl/>
              <w:kinsoku/>
              <w:overflowPunct/>
              <w:topLinePunct w:val="0"/>
              <w:autoSpaceDE/>
              <w:autoSpaceDN/>
              <w:bidi w:val="0"/>
              <w:spacing w:beforeAutospacing="0" w:afterAutospacing="0" w:line="360" w:lineRule="auto"/>
              <w:ind w:left="0" w:leftChars="0" w:right="0" w:firstLine="0" w:firstLineChars="0"/>
              <w:jc w:val="left"/>
              <w:textAlignment w:val="top"/>
              <w:rPr>
                <w:rFonts w:hint="default" w:ascii="Times New Roman" w:hAnsi="Times New Roman" w:eastAsia="宋体" w:cs="Times New Roman"/>
                <w:szCs w:val="21"/>
                <w:highlight w:val="none"/>
              </w:rPr>
            </w:pPr>
            <w:r>
              <w:rPr>
                <w:rFonts w:hint="default" w:ascii="Times New Roman" w:hAnsi="Times New Roman" w:eastAsia="宋体" w:cs="Times New Roman"/>
                <w:highlight w:val="none"/>
              </w:rPr>
              <w:t>分项报价或投标总价高于</w:t>
            </w:r>
            <w:bookmarkStart w:id="2" w:name="_Hlk71832186"/>
            <w:r>
              <w:rPr>
                <w:rFonts w:hint="default" w:ascii="Times New Roman" w:hAnsi="Times New Roman" w:eastAsia="宋体" w:cs="Times New Roman"/>
                <w:highlight w:val="none"/>
              </w:rPr>
              <w:t>相应财政预算金额（或设定的财政预算金额下的最高限价）</w:t>
            </w:r>
            <w:bookmarkEnd w:id="2"/>
            <w:r>
              <w:rPr>
                <w:rFonts w:hint="default" w:ascii="Times New Roman" w:hAnsi="Times New Roman" w:eastAsia="宋体" w:cs="Times New Roman"/>
                <w:highlight w:val="none"/>
              </w:rPr>
              <w:t>；</w:t>
            </w:r>
          </w:p>
        </w:tc>
      </w:tr>
      <w:tr w14:paraId="3A05653F">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20" w:type="dxa"/>
            <w:left w:w="108" w:type="dxa"/>
            <w:bottom w:w="20" w:type="dxa"/>
            <w:right w:w="108" w:type="dxa"/>
          </w:tblCellMar>
        </w:tblPrEx>
        <w:trPr>
          <w:jc w:val="center"/>
        </w:trPr>
        <w:tc>
          <w:tcPr>
            <w:tcW w:w="79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C50FDC6">
            <w:pPr>
              <w:pageBreakBefore w:val="0"/>
              <w:widowControl/>
              <w:kinsoku/>
              <w:overflowPunct/>
              <w:topLinePunct w:val="0"/>
              <w:autoSpaceDE/>
              <w:autoSpaceDN/>
              <w:bidi w:val="0"/>
              <w:spacing w:beforeAutospacing="0" w:afterAutospacing="0" w:line="360" w:lineRule="auto"/>
              <w:ind w:left="0" w:leftChars="0" w:right="0" w:firstLine="0" w:firstLineChars="0"/>
              <w:jc w:val="center"/>
              <w:textAlignment w:val="top"/>
              <w:rPr>
                <w:rFonts w:hint="default" w:ascii="Times New Roman" w:hAnsi="Times New Roman" w:eastAsia="宋体" w:cs="Times New Roman"/>
                <w:szCs w:val="21"/>
                <w:highlight w:val="none"/>
              </w:rPr>
            </w:pPr>
            <w:r>
              <w:rPr>
                <w:rFonts w:hint="default" w:ascii="Times New Roman" w:hAnsi="Times New Roman" w:eastAsia="宋体" w:cs="Times New Roman"/>
                <w:kern w:val="0"/>
                <w:szCs w:val="21"/>
                <w:highlight w:val="none"/>
                <w:lang w:bidi="ar"/>
              </w:rPr>
              <w:t>4</w:t>
            </w:r>
          </w:p>
        </w:tc>
        <w:tc>
          <w:tcPr>
            <w:tcW w:w="8284" w:type="dxa"/>
            <w:tcBorders>
              <w:top w:val="single" w:color="000000" w:sz="8" w:space="0"/>
              <w:left w:val="single" w:color="000000" w:sz="8" w:space="0"/>
              <w:bottom w:val="single" w:color="000000" w:sz="8" w:space="0"/>
              <w:right w:val="single" w:color="000000" w:sz="8" w:space="0"/>
            </w:tcBorders>
            <w:shd w:val="clear" w:color="auto" w:fill="auto"/>
          </w:tcPr>
          <w:p w14:paraId="71D08D16">
            <w:pPr>
              <w:pageBreakBefore w:val="0"/>
              <w:widowControl/>
              <w:kinsoku/>
              <w:overflowPunct/>
              <w:topLinePunct w:val="0"/>
              <w:autoSpaceDE/>
              <w:autoSpaceDN/>
              <w:bidi w:val="0"/>
              <w:spacing w:beforeAutospacing="0" w:afterAutospacing="0" w:line="360" w:lineRule="auto"/>
              <w:ind w:left="0" w:leftChars="0" w:right="0" w:firstLine="0" w:firstLineChars="0"/>
              <w:jc w:val="left"/>
              <w:textAlignment w:val="top"/>
              <w:rPr>
                <w:rFonts w:hint="default" w:ascii="Times New Roman" w:hAnsi="Times New Roman" w:eastAsia="宋体" w:cs="Times New Roman"/>
                <w:szCs w:val="21"/>
                <w:highlight w:val="none"/>
              </w:rPr>
            </w:pPr>
            <w:r>
              <w:rPr>
                <w:rFonts w:hint="default" w:ascii="Times New Roman" w:hAnsi="Times New Roman" w:eastAsia="宋体" w:cs="Times New Roman"/>
                <w:highlight w:val="none"/>
              </w:rPr>
              <w:t>评审委员会认为投标人的报价明显低于其他通过符合性审查投标人的报价，有可能影响产品质量或者不能诚信履约的，应当要求其在评审现场合理的时间内提供书面说明，必要时提交相关证明材料；在此情况下，投标人仍不能证明其报价合理性的（评审委员会成员对投标人提供的说明材料判断不一致的</w:t>
            </w:r>
            <w:r>
              <w:rPr>
                <w:rFonts w:hint="eastAsia" w:cs="Times New Roman"/>
                <w:highlight w:val="none"/>
                <w:lang w:eastAsia="zh-CN"/>
              </w:rPr>
              <w:t>）</w:t>
            </w:r>
            <w:r>
              <w:rPr>
                <w:rFonts w:hint="default" w:ascii="Times New Roman" w:hAnsi="Times New Roman" w:eastAsia="宋体" w:cs="Times New Roman"/>
                <w:highlight w:val="none"/>
              </w:rPr>
              <w:t>，按照“少数服从多数”的原则确定评审委员会的意见；</w:t>
            </w:r>
          </w:p>
        </w:tc>
      </w:tr>
      <w:tr w14:paraId="6ED8EC61">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20" w:type="dxa"/>
            <w:left w:w="108" w:type="dxa"/>
            <w:bottom w:w="20" w:type="dxa"/>
            <w:right w:w="108" w:type="dxa"/>
          </w:tblCellMar>
        </w:tblPrEx>
        <w:trPr>
          <w:jc w:val="center"/>
        </w:trPr>
        <w:tc>
          <w:tcPr>
            <w:tcW w:w="79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10CBAB3">
            <w:pPr>
              <w:pageBreakBefore w:val="0"/>
              <w:widowControl/>
              <w:kinsoku/>
              <w:overflowPunct/>
              <w:topLinePunct w:val="0"/>
              <w:autoSpaceDE/>
              <w:autoSpaceDN/>
              <w:bidi w:val="0"/>
              <w:spacing w:beforeAutospacing="0" w:afterAutospacing="0" w:line="360" w:lineRule="auto"/>
              <w:ind w:left="0" w:leftChars="0" w:right="0" w:firstLine="0" w:firstLineChars="0"/>
              <w:jc w:val="center"/>
              <w:textAlignment w:val="top"/>
              <w:rPr>
                <w:rFonts w:hint="default" w:ascii="Times New Roman" w:hAnsi="Times New Roman" w:eastAsia="宋体" w:cs="Times New Roman"/>
                <w:szCs w:val="21"/>
                <w:highlight w:val="none"/>
              </w:rPr>
            </w:pPr>
            <w:r>
              <w:rPr>
                <w:rFonts w:hint="default" w:ascii="Times New Roman" w:hAnsi="Times New Roman" w:eastAsia="宋体" w:cs="Times New Roman"/>
                <w:kern w:val="0"/>
                <w:szCs w:val="21"/>
                <w:highlight w:val="none"/>
                <w:lang w:bidi="ar"/>
              </w:rPr>
              <w:t>5</w:t>
            </w:r>
          </w:p>
        </w:tc>
        <w:tc>
          <w:tcPr>
            <w:tcW w:w="8284" w:type="dxa"/>
            <w:tcBorders>
              <w:top w:val="single" w:color="000000" w:sz="8" w:space="0"/>
              <w:left w:val="single" w:color="000000" w:sz="8" w:space="0"/>
              <w:bottom w:val="single" w:color="000000" w:sz="8" w:space="0"/>
              <w:right w:val="single" w:color="000000" w:sz="8" w:space="0"/>
            </w:tcBorders>
            <w:shd w:val="clear" w:color="auto" w:fill="auto"/>
          </w:tcPr>
          <w:p w14:paraId="754C2005">
            <w:pPr>
              <w:pageBreakBefore w:val="0"/>
              <w:widowControl/>
              <w:kinsoku/>
              <w:overflowPunct/>
              <w:topLinePunct w:val="0"/>
              <w:autoSpaceDE/>
              <w:autoSpaceDN/>
              <w:bidi w:val="0"/>
              <w:spacing w:beforeAutospacing="0" w:afterAutospacing="0" w:line="360" w:lineRule="auto"/>
              <w:ind w:left="0" w:leftChars="0" w:right="0" w:firstLine="0" w:firstLineChars="0"/>
              <w:jc w:val="left"/>
              <w:textAlignment w:val="top"/>
              <w:rPr>
                <w:rFonts w:hint="default" w:ascii="Times New Roman" w:hAnsi="Times New Roman" w:eastAsia="宋体" w:cs="Times New Roman"/>
                <w:szCs w:val="21"/>
                <w:highlight w:val="none"/>
              </w:rPr>
            </w:pPr>
            <w:r>
              <w:rPr>
                <w:rFonts w:hint="default" w:ascii="Times New Roman" w:hAnsi="Times New Roman" w:eastAsia="宋体" w:cs="Times New Roman"/>
                <w:highlight w:val="none"/>
              </w:rPr>
              <w:t>所投货物、服务在技术、商务等方面没有实质性满足招标文件要求的（是否实质性满足招标文件要求，由评审委员会根据《实质性条款响应情况表》做出评判）；</w:t>
            </w:r>
          </w:p>
        </w:tc>
      </w:tr>
      <w:tr w14:paraId="4EB96811">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20" w:type="dxa"/>
            <w:left w:w="108" w:type="dxa"/>
            <w:bottom w:w="20" w:type="dxa"/>
            <w:right w:w="108" w:type="dxa"/>
          </w:tblCellMar>
        </w:tblPrEx>
        <w:trPr>
          <w:jc w:val="center"/>
        </w:trPr>
        <w:tc>
          <w:tcPr>
            <w:tcW w:w="79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2FB6674">
            <w:pPr>
              <w:pageBreakBefore w:val="0"/>
              <w:widowControl/>
              <w:kinsoku/>
              <w:overflowPunct/>
              <w:topLinePunct w:val="0"/>
              <w:autoSpaceDE/>
              <w:autoSpaceDN/>
              <w:bidi w:val="0"/>
              <w:spacing w:beforeAutospacing="0" w:afterAutospacing="0" w:line="360" w:lineRule="auto"/>
              <w:ind w:left="0" w:leftChars="0" w:right="0" w:firstLine="0" w:firstLineChars="0"/>
              <w:jc w:val="center"/>
              <w:textAlignment w:val="top"/>
              <w:rPr>
                <w:rFonts w:hint="default" w:ascii="Times New Roman" w:hAnsi="Times New Roman" w:eastAsia="宋体" w:cs="Times New Roman"/>
                <w:szCs w:val="21"/>
                <w:highlight w:val="none"/>
              </w:rPr>
            </w:pPr>
            <w:r>
              <w:rPr>
                <w:rFonts w:hint="default" w:ascii="Times New Roman" w:hAnsi="Times New Roman" w:eastAsia="宋体" w:cs="Times New Roman"/>
                <w:kern w:val="0"/>
                <w:szCs w:val="21"/>
                <w:highlight w:val="none"/>
                <w:lang w:bidi="ar"/>
              </w:rPr>
              <w:t>6</w:t>
            </w:r>
          </w:p>
        </w:tc>
        <w:tc>
          <w:tcPr>
            <w:tcW w:w="8284" w:type="dxa"/>
            <w:tcBorders>
              <w:top w:val="single" w:color="000000" w:sz="8" w:space="0"/>
              <w:left w:val="single" w:color="000000" w:sz="8" w:space="0"/>
              <w:bottom w:val="single" w:color="000000" w:sz="8" w:space="0"/>
              <w:right w:val="single" w:color="000000" w:sz="8" w:space="0"/>
            </w:tcBorders>
            <w:shd w:val="clear" w:color="auto" w:fill="auto"/>
          </w:tcPr>
          <w:p w14:paraId="7C2C6C4E">
            <w:pPr>
              <w:pageBreakBefore w:val="0"/>
              <w:widowControl/>
              <w:kinsoku/>
              <w:overflowPunct/>
              <w:topLinePunct w:val="0"/>
              <w:autoSpaceDE/>
              <w:autoSpaceDN/>
              <w:bidi w:val="0"/>
              <w:spacing w:beforeAutospacing="0" w:afterAutospacing="0" w:line="360" w:lineRule="auto"/>
              <w:ind w:left="0" w:leftChars="0" w:right="0" w:firstLine="0" w:firstLineChars="0"/>
              <w:jc w:val="left"/>
              <w:textAlignment w:val="top"/>
              <w:rPr>
                <w:rFonts w:hint="default" w:ascii="Times New Roman" w:hAnsi="Times New Roman" w:eastAsia="宋体" w:cs="Times New Roman"/>
                <w:szCs w:val="21"/>
                <w:highlight w:val="none"/>
              </w:rPr>
            </w:pPr>
            <w:r>
              <w:rPr>
                <w:rFonts w:hint="default" w:ascii="Times New Roman" w:hAnsi="Times New Roman" w:eastAsia="宋体" w:cs="Times New Roman"/>
                <w:highlight w:val="none"/>
              </w:rPr>
              <w:t>未按招标文件所提供的样式填写《投标函》；未按招标文件所提供的《</w:t>
            </w:r>
            <w:r>
              <w:rPr>
                <w:rFonts w:hint="default" w:ascii="Times New Roman" w:hAnsi="Times New Roman" w:cs="Times New Roman"/>
                <w:highlight w:val="none"/>
                <w:lang w:eastAsia="zh-CN"/>
              </w:rPr>
              <w:t>投标及履约承诺函</w:t>
            </w:r>
            <w:r>
              <w:rPr>
                <w:rFonts w:hint="default" w:ascii="Times New Roman" w:hAnsi="Times New Roman" w:eastAsia="宋体" w:cs="Times New Roman"/>
                <w:highlight w:val="none"/>
              </w:rPr>
              <w:t>》进行承诺；未按招标文件对投标文件组成的要求提供投标文件；</w:t>
            </w:r>
          </w:p>
        </w:tc>
      </w:tr>
      <w:tr w14:paraId="23803A02">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20" w:type="dxa"/>
            <w:left w:w="108" w:type="dxa"/>
            <w:bottom w:w="20" w:type="dxa"/>
            <w:right w:w="108" w:type="dxa"/>
          </w:tblCellMar>
        </w:tblPrEx>
        <w:trPr>
          <w:jc w:val="center"/>
        </w:trPr>
        <w:tc>
          <w:tcPr>
            <w:tcW w:w="79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04F2765">
            <w:pPr>
              <w:pageBreakBefore w:val="0"/>
              <w:widowControl/>
              <w:kinsoku/>
              <w:overflowPunct/>
              <w:topLinePunct w:val="0"/>
              <w:autoSpaceDE/>
              <w:autoSpaceDN/>
              <w:bidi w:val="0"/>
              <w:spacing w:beforeAutospacing="0" w:afterAutospacing="0" w:line="360" w:lineRule="auto"/>
              <w:ind w:left="0" w:leftChars="0" w:right="0" w:firstLine="0" w:firstLineChars="0"/>
              <w:jc w:val="center"/>
              <w:textAlignment w:val="top"/>
              <w:rPr>
                <w:rFonts w:hint="default" w:ascii="Times New Roman" w:hAnsi="Times New Roman" w:eastAsia="宋体" w:cs="Times New Roman"/>
                <w:szCs w:val="21"/>
                <w:highlight w:val="none"/>
              </w:rPr>
            </w:pPr>
            <w:r>
              <w:rPr>
                <w:rFonts w:hint="default" w:ascii="Times New Roman" w:hAnsi="Times New Roman" w:eastAsia="宋体" w:cs="Times New Roman"/>
                <w:kern w:val="0"/>
                <w:szCs w:val="21"/>
                <w:highlight w:val="none"/>
                <w:lang w:bidi="ar"/>
              </w:rPr>
              <w:t>7</w:t>
            </w:r>
          </w:p>
        </w:tc>
        <w:tc>
          <w:tcPr>
            <w:tcW w:w="8284" w:type="dxa"/>
            <w:tcBorders>
              <w:top w:val="single" w:color="000000" w:sz="8" w:space="0"/>
              <w:left w:val="single" w:color="000000" w:sz="8" w:space="0"/>
              <w:bottom w:val="single" w:color="000000" w:sz="8" w:space="0"/>
              <w:right w:val="single" w:color="000000" w:sz="8" w:space="0"/>
            </w:tcBorders>
            <w:shd w:val="clear" w:color="auto" w:fill="auto"/>
          </w:tcPr>
          <w:p w14:paraId="3758C292">
            <w:pPr>
              <w:pageBreakBefore w:val="0"/>
              <w:widowControl/>
              <w:kinsoku/>
              <w:overflowPunct/>
              <w:topLinePunct w:val="0"/>
              <w:autoSpaceDE/>
              <w:autoSpaceDN/>
              <w:bidi w:val="0"/>
              <w:spacing w:beforeAutospacing="0" w:afterAutospacing="0" w:line="360" w:lineRule="auto"/>
              <w:ind w:left="0" w:leftChars="0" w:right="0" w:firstLine="0" w:firstLineChars="0"/>
              <w:jc w:val="left"/>
              <w:textAlignment w:val="top"/>
              <w:rPr>
                <w:rFonts w:hint="default" w:ascii="Times New Roman" w:hAnsi="Times New Roman" w:eastAsia="宋体" w:cs="Times New Roman"/>
                <w:szCs w:val="21"/>
                <w:highlight w:val="none"/>
              </w:rPr>
            </w:pPr>
            <w:r>
              <w:rPr>
                <w:rFonts w:hint="default" w:ascii="Times New Roman" w:hAnsi="Times New Roman" w:eastAsia="宋体" w:cs="Times New Roman"/>
                <w:highlight w:val="none"/>
              </w:rPr>
              <w:t>投标报价有缺漏项目,或者对招标文件规定的项目需求内容或者需求数量进行修改</w:t>
            </w:r>
            <w:r>
              <w:rPr>
                <w:rFonts w:hint="default" w:ascii="Times New Roman" w:hAnsi="Times New Roman" w:eastAsia="宋体" w:cs="Times New Roman"/>
                <w:szCs w:val="21"/>
                <w:highlight w:val="none"/>
              </w:rPr>
              <w:t>，评审委员会判定投标响应不满足采购需求</w:t>
            </w:r>
            <w:r>
              <w:rPr>
                <w:rFonts w:hint="default" w:ascii="Times New Roman" w:hAnsi="Times New Roman" w:eastAsia="宋体" w:cs="Times New Roman"/>
                <w:highlight w:val="none"/>
              </w:rPr>
              <w:t>；</w:t>
            </w:r>
          </w:p>
        </w:tc>
      </w:tr>
      <w:tr w14:paraId="4C0C8666">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20" w:type="dxa"/>
            <w:left w:w="108" w:type="dxa"/>
            <w:bottom w:w="20" w:type="dxa"/>
            <w:right w:w="108" w:type="dxa"/>
          </w:tblCellMar>
        </w:tblPrEx>
        <w:trPr>
          <w:jc w:val="center"/>
        </w:trPr>
        <w:tc>
          <w:tcPr>
            <w:tcW w:w="79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39205CB">
            <w:pPr>
              <w:pageBreakBefore w:val="0"/>
              <w:widowControl/>
              <w:kinsoku/>
              <w:overflowPunct/>
              <w:topLinePunct w:val="0"/>
              <w:autoSpaceDE/>
              <w:autoSpaceDN/>
              <w:bidi w:val="0"/>
              <w:spacing w:beforeAutospacing="0" w:afterAutospacing="0" w:line="360" w:lineRule="auto"/>
              <w:ind w:left="0" w:leftChars="0" w:right="0" w:rightChars="0" w:firstLine="0" w:firstLineChars="0"/>
              <w:jc w:val="center"/>
              <w:textAlignment w:val="top"/>
              <w:rPr>
                <w:rFonts w:hint="eastAsia" w:ascii="Times New Roman" w:hAnsi="Times New Roman" w:eastAsia="宋体" w:cs="Times New Roman"/>
                <w:kern w:val="2"/>
                <w:sz w:val="21"/>
                <w:szCs w:val="21"/>
                <w:highlight w:val="none"/>
                <w:lang w:val="en-US" w:eastAsia="zh-CN" w:bidi="ar-SA"/>
              </w:rPr>
            </w:pPr>
            <w:r>
              <w:rPr>
                <w:rFonts w:hint="eastAsia" w:cs="Times New Roman"/>
                <w:kern w:val="0"/>
                <w:szCs w:val="21"/>
                <w:highlight w:val="none"/>
                <w:lang w:val="en-US" w:eastAsia="zh-CN" w:bidi="ar"/>
              </w:rPr>
              <w:t>8</w:t>
            </w:r>
          </w:p>
        </w:tc>
        <w:tc>
          <w:tcPr>
            <w:tcW w:w="8284" w:type="dxa"/>
            <w:tcBorders>
              <w:top w:val="single" w:color="000000" w:sz="8" w:space="0"/>
              <w:left w:val="single" w:color="000000" w:sz="8" w:space="0"/>
              <w:bottom w:val="single" w:color="000000" w:sz="8" w:space="0"/>
              <w:right w:val="single" w:color="000000" w:sz="8" w:space="0"/>
            </w:tcBorders>
            <w:shd w:val="clear" w:color="auto" w:fill="auto"/>
            <w:vAlign w:val="top"/>
          </w:tcPr>
          <w:p w14:paraId="2F418C16">
            <w:pPr>
              <w:pStyle w:val="480"/>
              <w:keepNext w:val="0"/>
              <w:keepLines w:val="0"/>
              <w:pageBreakBefore w:val="0"/>
              <w:widowControl/>
              <w:kinsoku w:val="0"/>
              <w:wordWrap w:val="0"/>
              <w:overflowPunct/>
              <w:topLinePunct w:val="0"/>
              <w:autoSpaceDE w:val="0"/>
              <w:autoSpaceDN w:val="0"/>
              <w:bidi w:val="0"/>
              <w:adjustRightInd w:val="0"/>
              <w:snapToGrid w:val="0"/>
              <w:spacing w:before="103" w:line="220" w:lineRule="auto"/>
              <w:ind w:left="101" w:leftChars="0"/>
              <w:textAlignment w:val="baseline"/>
              <w:rPr>
                <w:rFonts w:hint="default" w:ascii="Times New Roman" w:hAnsi="Times New Roman" w:eastAsia="宋体" w:cs="Times New Roman"/>
                <w:kern w:val="2"/>
                <w:sz w:val="21"/>
                <w:szCs w:val="21"/>
                <w:lang w:val="en-US" w:eastAsia="zh-CN" w:bidi="ar-SA"/>
              </w:rPr>
            </w:pPr>
            <w:r>
              <w:rPr>
                <w:rFonts w:hint="default" w:ascii="Times New Roman" w:hAnsi="Times New Roman" w:cs="Times New Roman"/>
                <w:spacing w:val="-1"/>
              </w:rPr>
              <w:t>投标文件电子文档有病毒</w:t>
            </w:r>
            <w:r>
              <w:rPr>
                <w:rFonts w:hint="default" w:ascii="Times New Roman" w:hAnsi="Times New Roman" w:cs="Times New Roman"/>
                <w:spacing w:val="-1"/>
                <w:lang w:eastAsia="zh-CN"/>
              </w:rPr>
              <w:t>的；</w:t>
            </w:r>
          </w:p>
        </w:tc>
      </w:tr>
      <w:tr w14:paraId="4CEC98FE">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20" w:type="dxa"/>
            <w:left w:w="108" w:type="dxa"/>
            <w:bottom w:w="20" w:type="dxa"/>
            <w:right w:w="108" w:type="dxa"/>
          </w:tblCellMar>
        </w:tblPrEx>
        <w:trPr>
          <w:jc w:val="center"/>
        </w:trPr>
        <w:tc>
          <w:tcPr>
            <w:tcW w:w="79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4FED7BC">
            <w:pPr>
              <w:pageBreakBefore w:val="0"/>
              <w:widowControl/>
              <w:kinsoku/>
              <w:overflowPunct/>
              <w:topLinePunct w:val="0"/>
              <w:autoSpaceDE/>
              <w:autoSpaceDN/>
              <w:bidi w:val="0"/>
              <w:spacing w:beforeAutospacing="0" w:afterAutospacing="0" w:line="360" w:lineRule="auto"/>
              <w:ind w:left="0" w:leftChars="0" w:right="0" w:rightChars="0" w:firstLine="0" w:firstLineChars="0"/>
              <w:jc w:val="center"/>
              <w:textAlignment w:val="top"/>
              <w:rPr>
                <w:rFonts w:hint="eastAsia" w:ascii="Times New Roman" w:hAnsi="Times New Roman" w:eastAsia="宋体" w:cs="Times New Roman"/>
                <w:kern w:val="2"/>
                <w:sz w:val="21"/>
                <w:szCs w:val="21"/>
                <w:highlight w:val="none"/>
                <w:lang w:val="en-US" w:eastAsia="zh-CN" w:bidi="ar-SA"/>
              </w:rPr>
            </w:pPr>
            <w:r>
              <w:rPr>
                <w:rFonts w:hint="eastAsia" w:cs="Times New Roman"/>
                <w:kern w:val="0"/>
                <w:szCs w:val="21"/>
                <w:highlight w:val="none"/>
                <w:lang w:val="en-US" w:eastAsia="zh-CN" w:bidi="ar"/>
              </w:rPr>
              <w:t>9</w:t>
            </w:r>
          </w:p>
        </w:tc>
        <w:tc>
          <w:tcPr>
            <w:tcW w:w="8284" w:type="dxa"/>
            <w:tcBorders>
              <w:top w:val="single" w:color="000000" w:sz="8" w:space="0"/>
              <w:left w:val="single" w:color="000000" w:sz="8" w:space="0"/>
              <w:bottom w:val="single" w:color="000000" w:sz="8" w:space="0"/>
              <w:right w:val="single" w:color="000000" w:sz="8" w:space="0"/>
            </w:tcBorders>
            <w:shd w:val="clear" w:color="auto" w:fill="auto"/>
            <w:vAlign w:val="top"/>
          </w:tcPr>
          <w:p w14:paraId="755B1F5C">
            <w:pPr>
              <w:pStyle w:val="480"/>
              <w:keepNext w:val="0"/>
              <w:keepLines w:val="0"/>
              <w:pageBreakBefore w:val="0"/>
              <w:widowControl/>
              <w:kinsoku w:val="0"/>
              <w:wordWrap w:val="0"/>
              <w:overflowPunct/>
              <w:topLinePunct w:val="0"/>
              <w:autoSpaceDE w:val="0"/>
              <w:autoSpaceDN w:val="0"/>
              <w:bidi w:val="0"/>
              <w:adjustRightInd w:val="0"/>
              <w:snapToGrid w:val="0"/>
              <w:spacing w:before="104" w:line="220" w:lineRule="auto"/>
              <w:ind w:left="101" w:leftChars="0"/>
              <w:textAlignment w:val="baseline"/>
              <w:rPr>
                <w:rFonts w:hint="default" w:ascii="Times New Roman" w:hAnsi="Times New Roman" w:eastAsia="宋体" w:cs="Times New Roman"/>
                <w:kern w:val="2"/>
                <w:sz w:val="21"/>
                <w:szCs w:val="21"/>
                <w:lang w:val="en-US" w:eastAsia="zh-CN" w:bidi="ar-SA"/>
              </w:rPr>
            </w:pPr>
            <w:r>
              <w:rPr>
                <w:rFonts w:hint="default" w:ascii="Times New Roman" w:hAnsi="Times New Roman" w:cs="Times New Roman"/>
              </w:rPr>
              <w:t>法律、法规、规章、规范性文件规定的其他情形。</w:t>
            </w:r>
          </w:p>
        </w:tc>
      </w:tr>
    </w:tbl>
    <w:p w14:paraId="16918C5D">
      <w:pPr>
        <w:pStyle w:val="40"/>
        <w:pageBreakBefore w:val="0"/>
        <w:widowControl/>
        <w:kinsoku/>
        <w:overflowPunct/>
        <w:topLinePunct w:val="0"/>
        <w:autoSpaceDE/>
        <w:autoSpaceDN/>
        <w:bidi w:val="0"/>
        <w:spacing w:beforeAutospacing="0" w:afterAutospacing="0" w:line="360" w:lineRule="auto"/>
        <w:ind w:left="0" w:leftChars="0" w:right="0" w:firstLine="0" w:firstLineChars="0"/>
        <w:jc w:val="center"/>
        <w:outlineLvl w:val="9"/>
        <w:rPr>
          <w:rFonts w:hint="default" w:ascii="Times New Roman" w:hAnsi="Times New Roman" w:eastAsia="宋体" w:cs="Times New Roman"/>
          <w:sz w:val="40"/>
          <w:szCs w:val="40"/>
          <w:highlight w:val="none"/>
          <w:lang w:eastAsia="zh-CN"/>
        </w:rPr>
      </w:pPr>
    </w:p>
    <w:p w14:paraId="6D63B72F">
      <w:pPr>
        <w:pStyle w:val="40"/>
        <w:pageBreakBefore w:val="0"/>
        <w:widowControl/>
        <w:kinsoku/>
        <w:overflowPunct/>
        <w:topLinePunct w:val="0"/>
        <w:autoSpaceDE/>
        <w:autoSpaceDN/>
        <w:bidi w:val="0"/>
        <w:spacing w:beforeAutospacing="0" w:afterAutospacing="0" w:line="360" w:lineRule="auto"/>
        <w:ind w:left="0" w:leftChars="0" w:right="0" w:firstLine="0" w:firstLineChars="0"/>
        <w:jc w:val="center"/>
        <w:outlineLvl w:val="9"/>
        <w:rPr>
          <w:rFonts w:hint="default" w:ascii="Times New Roman" w:hAnsi="Times New Roman" w:eastAsia="宋体" w:cs="Times New Roman"/>
          <w:sz w:val="40"/>
          <w:szCs w:val="40"/>
          <w:highlight w:val="none"/>
          <w:lang w:eastAsia="zh-CN"/>
        </w:rPr>
        <w:sectPr>
          <w:pgSz w:w="11900" w:h="16880"/>
          <w:pgMar w:top="1440" w:right="1800" w:bottom="1440" w:left="1800" w:header="0" w:footer="0" w:gutter="0"/>
          <w:cols w:space="720" w:num="1"/>
        </w:sectPr>
      </w:pPr>
    </w:p>
    <w:p w14:paraId="28B5740D">
      <w:pPr>
        <w:pStyle w:val="40"/>
        <w:pageBreakBefore w:val="0"/>
        <w:widowControl/>
        <w:kinsoku/>
        <w:overflowPunct/>
        <w:topLinePunct w:val="0"/>
        <w:autoSpaceDE/>
        <w:autoSpaceDN/>
        <w:bidi w:val="0"/>
        <w:spacing w:beforeAutospacing="0" w:afterAutospacing="0" w:line="360" w:lineRule="auto"/>
        <w:ind w:left="0" w:leftChars="0" w:right="0" w:firstLine="0" w:firstLineChars="0"/>
        <w:jc w:val="center"/>
        <w:outlineLvl w:val="1"/>
        <w:rPr>
          <w:rFonts w:hint="default" w:ascii="Times New Roman" w:hAnsi="Times New Roman" w:eastAsia="宋体" w:cs="Times New Roman"/>
          <w:sz w:val="40"/>
          <w:szCs w:val="40"/>
          <w:highlight w:val="none"/>
        </w:rPr>
      </w:pPr>
      <w:r>
        <w:rPr>
          <w:rFonts w:hint="default" w:ascii="Times New Roman" w:hAnsi="Times New Roman" w:eastAsia="宋体" w:cs="Times New Roman"/>
          <w:b/>
          <w:bCs/>
          <w:sz w:val="40"/>
          <w:szCs w:val="40"/>
          <w:highlight w:val="none"/>
        </w:rPr>
        <w:t>评标信息</w:t>
      </w:r>
    </w:p>
    <w:p w14:paraId="1E525BEF">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vanish/>
          <w:sz w:val="24"/>
          <w:highlight w:val="none"/>
        </w:rPr>
      </w:pPr>
    </w:p>
    <w:tbl>
      <w:tblPr>
        <w:tblStyle w:val="45"/>
        <w:tblW w:w="8897" w:type="dxa"/>
        <w:jc w:val="center"/>
        <w:tblCellSpacing w:w="0" w:type="dxa"/>
        <w:tblLayout w:type="autofit"/>
        <w:tblCellMar>
          <w:top w:w="45" w:type="dxa"/>
          <w:left w:w="45" w:type="dxa"/>
          <w:bottom w:w="45" w:type="dxa"/>
          <w:right w:w="45" w:type="dxa"/>
        </w:tblCellMar>
      </w:tblPr>
      <w:tblGrid>
        <w:gridCol w:w="4966"/>
        <w:gridCol w:w="4291"/>
      </w:tblGrid>
      <w:tr w14:paraId="74D585DF">
        <w:tblPrEx>
          <w:tblCellMar>
            <w:top w:w="45" w:type="dxa"/>
            <w:left w:w="45" w:type="dxa"/>
            <w:bottom w:w="45" w:type="dxa"/>
            <w:right w:w="45" w:type="dxa"/>
          </w:tblCellMar>
        </w:tblPrEx>
        <w:trPr>
          <w:trHeight w:val="602" w:hRule="atLeast"/>
          <w:tblCellSpacing w:w="0" w:type="dxa"/>
          <w:jc w:val="center"/>
        </w:trPr>
        <w:tc>
          <w:tcPr>
            <w:tcW w:w="4559" w:type="dxa"/>
            <w:tcBorders>
              <w:top w:val="nil"/>
              <w:left w:val="nil"/>
              <w:bottom w:val="nil"/>
              <w:right w:val="nil"/>
            </w:tcBorders>
            <w:noWrap w:val="0"/>
            <w:vAlign w:val="center"/>
          </w:tcPr>
          <w:p w14:paraId="35EE2A01">
            <w:pPr>
              <w:pageBreakBefore w:val="0"/>
              <w:kinsoku/>
              <w:overflowPunct/>
              <w:topLinePunct w:val="0"/>
              <w:bidi w:val="0"/>
              <w:adjustRightInd/>
              <w:spacing w:beforeAutospacing="0" w:afterAutospacing="0" w:line="360" w:lineRule="auto"/>
              <w:ind w:left="0" w:leftChars="0" w:right="0" w:firstLine="0" w:firstLineChars="0"/>
              <w:rPr>
                <w:rFonts w:hint="default" w:ascii="Times New Roman" w:hAnsi="Times New Roman" w:eastAsia="宋体" w:cs="Times New Roman"/>
                <w:b/>
                <w:bCs/>
                <w:sz w:val="22"/>
              </w:rPr>
            </w:pPr>
            <w:r>
              <w:rPr>
                <w:rFonts w:hint="default" w:ascii="Times New Roman" w:hAnsi="Times New Roman" w:eastAsia="宋体" w:cs="Times New Roman"/>
                <w:b/>
                <w:bCs/>
                <w:sz w:val="24"/>
                <w:szCs w:val="32"/>
              </w:rPr>
              <w:t xml:space="preserve">评标方法：综合评分法 </w:t>
            </w:r>
          </w:p>
        </w:tc>
        <w:tc>
          <w:tcPr>
            <w:tcW w:w="4338" w:type="dxa"/>
            <w:tcBorders>
              <w:top w:val="nil"/>
              <w:left w:val="nil"/>
              <w:bottom w:val="nil"/>
              <w:right w:val="nil"/>
            </w:tcBorders>
            <w:noWrap w:val="0"/>
            <w:vAlign w:val="center"/>
          </w:tcPr>
          <w:p w14:paraId="7FFF4448">
            <w:pPr>
              <w:pageBreakBefore w:val="0"/>
              <w:kinsoku/>
              <w:overflowPunct/>
              <w:topLinePunct w:val="0"/>
              <w:bidi w:val="0"/>
              <w:adjustRightInd/>
              <w:spacing w:beforeAutospacing="0" w:afterAutospacing="0" w:line="360" w:lineRule="auto"/>
              <w:ind w:left="0" w:leftChars="0" w:right="0" w:firstLine="0" w:firstLineChars="0"/>
              <w:jc w:val="right"/>
              <w:rPr>
                <w:rFonts w:hint="default" w:ascii="Times New Roman" w:hAnsi="Times New Roman" w:eastAsia="宋体" w:cs="Times New Roman"/>
                <w:b/>
                <w:bCs/>
                <w:sz w:val="24"/>
                <w:szCs w:val="32"/>
              </w:rPr>
            </w:pPr>
          </w:p>
        </w:tc>
      </w:tr>
      <w:tr w14:paraId="2AFF20A7">
        <w:tblPrEx>
          <w:tblCellMar>
            <w:top w:w="45" w:type="dxa"/>
            <w:left w:w="45" w:type="dxa"/>
            <w:bottom w:w="45" w:type="dxa"/>
            <w:right w:w="45" w:type="dxa"/>
          </w:tblCellMar>
        </w:tblPrEx>
        <w:trPr>
          <w:trHeight w:val="2006" w:hRule="atLeast"/>
          <w:tblCellSpacing w:w="0" w:type="dxa"/>
          <w:jc w:val="center"/>
        </w:trPr>
        <w:tc>
          <w:tcPr>
            <w:tcW w:w="8897" w:type="dxa"/>
            <w:gridSpan w:val="2"/>
            <w:tcBorders>
              <w:top w:val="nil"/>
              <w:left w:val="nil"/>
              <w:bottom w:val="nil"/>
              <w:right w:val="nil"/>
            </w:tcBorders>
            <w:noWrap w:val="0"/>
            <w:vAlign w:val="center"/>
          </w:tcPr>
          <w:p w14:paraId="08E689ED">
            <w:pPr>
              <w:pStyle w:val="40"/>
              <w:spacing w:beforeAutospacing="0" w:afterAutospacing="0" w:line="324" w:lineRule="auto"/>
              <w:ind w:firstLine="420"/>
              <w:jc w:val="both"/>
              <w:rPr>
                <w:rFonts w:ascii="Times New Roman" w:hAnsi="Times New Roman" w:eastAsia="宋体" w:cs="Times New Roman"/>
                <w:kern w:val="2"/>
                <w:sz w:val="21"/>
                <w:szCs w:val="21"/>
                <w:highlight w:val="none"/>
              </w:rPr>
            </w:pPr>
            <w:r>
              <w:rPr>
                <w:rFonts w:ascii="Times New Roman" w:hAnsi="Times New Roman" w:eastAsia="宋体" w:cs="Times New Roman"/>
                <w:kern w:val="2"/>
                <w:sz w:val="21"/>
                <w:szCs w:val="21"/>
                <w:highlight w:val="none"/>
              </w:rPr>
              <w:t>综合评分法，</w:t>
            </w:r>
            <w:r>
              <w:rPr>
                <w:rFonts w:hint="eastAsia" w:ascii="Times New Roman" w:hAnsi="Times New Roman" w:eastAsia="宋体" w:cs="Times New Roman"/>
                <w:kern w:val="2"/>
                <w:sz w:val="21"/>
                <w:szCs w:val="21"/>
                <w:highlight w:val="none"/>
              </w:rPr>
              <w:t>按照招标文件中规定的各项因素进行量化打分，以评标总得分的平均分最高的投标人为第一候选中标供应商，次高者为第二候选中标供应商；排名第三为第三候选中标供应商；采购人授权评标委员会直接确定第一候选中标供应商为中标人。</w:t>
            </w:r>
          </w:p>
          <w:p w14:paraId="58BA2440">
            <w:pPr>
              <w:pStyle w:val="40"/>
              <w:spacing w:beforeAutospacing="0" w:afterAutospacing="0" w:line="324" w:lineRule="auto"/>
              <w:ind w:firstLine="420"/>
              <w:jc w:val="both"/>
              <w:rPr>
                <w:rFonts w:ascii="Times New Roman" w:hAnsi="Times New Roman" w:eastAsia="宋体" w:cs="Times New Roman"/>
                <w:kern w:val="2"/>
                <w:sz w:val="21"/>
                <w:szCs w:val="21"/>
                <w:highlight w:val="none"/>
              </w:rPr>
            </w:pPr>
            <w:r>
              <w:rPr>
                <w:rFonts w:ascii="Times New Roman" w:hAnsi="Times New Roman" w:eastAsia="宋体" w:cs="Times New Roman"/>
                <w:kern w:val="2"/>
                <w:sz w:val="21"/>
                <w:szCs w:val="21"/>
                <w:highlight w:val="none"/>
              </w:rPr>
              <w:t>价格分计算方法：</w:t>
            </w:r>
          </w:p>
          <w:p w14:paraId="0A226B88">
            <w:pPr>
              <w:pStyle w:val="40"/>
              <w:spacing w:beforeAutospacing="0" w:afterAutospacing="0" w:line="324" w:lineRule="auto"/>
              <w:ind w:firstLine="420"/>
              <w:jc w:val="both"/>
              <w:rPr>
                <w:rFonts w:hint="eastAsia" w:ascii="Times New Roman" w:hAnsi="Times New Roman" w:eastAsia="宋体" w:cs="Times New Roman"/>
                <w:kern w:val="2"/>
                <w:sz w:val="21"/>
                <w:szCs w:val="21"/>
              </w:rPr>
            </w:pPr>
            <w:r>
              <w:rPr>
                <w:rFonts w:hint="eastAsia" w:ascii="Times New Roman" w:hAnsi="Times New Roman" w:eastAsia="宋体" w:cs="Times New Roman"/>
                <w:kern w:val="2"/>
                <w:sz w:val="21"/>
                <w:szCs w:val="21"/>
              </w:rPr>
              <w:t xml:space="preserve"> </w:t>
            </w:r>
          </w:p>
          <w:p w14:paraId="0CDE569F">
            <w:pPr>
              <w:pStyle w:val="40"/>
              <w:spacing w:beforeAutospacing="0" w:afterAutospacing="0" w:line="324" w:lineRule="auto"/>
              <w:ind w:firstLine="420"/>
              <w:jc w:val="both"/>
              <w:rPr>
                <w:rFonts w:hint="eastAsia" w:ascii="Times New Roman" w:hAnsi="Times New Roman" w:eastAsia="宋体" w:cs="Times New Roman"/>
                <w:kern w:val="2"/>
                <w:sz w:val="21"/>
                <w:szCs w:val="21"/>
              </w:rPr>
            </w:pPr>
            <w:r>
              <w:rPr>
                <w:rFonts w:hint="eastAsia" w:ascii="Times New Roman" w:hAnsi="Times New Roman" w:eastAsia="宋体" w:cs="Times New Roman"/>
                <w:kern w:val="2"/>
                <w:sz w:val="21"/>
                <w:szCs w:val="21"/>
              </w:rPr>
              <w:t>满足招标文件要求且投标价格最</w:t>
            </w:r>
            <w:r>
              <w:rPr>
                <w:rFonts w:hint="eastAsia" w:cs="Times New Roman"/>
                <w:kern w:val="2"/>
                <w:sz w:val="21"/>
                <w:szCs w:val="21"/>
                <w:lang w:val="en-US" w:eastAsia="zh-CN"/>
              </w:rPr>
              <w:t>低</w:t>
            </w:r>
            <w:r>
              <w:rPr>
                <w:rFonts w:hint="eastAsia" w:ascii="Times New Roman" w:hAnsi="Times New Roman" w:eastAsia="宋体" w:cs="Times New Roman"/>
                <w:kern w:val="2"/>
                <w:sz w:val="21"/>
                <w:szCs w:val="21"/>
              </w:rPr>
              <w:t>的投标报价为评标基准价，其价格分为满分。其他投标人的价格分统一按照下列公式计算：</w:t>
            </w:r>
          </w:p>
          <w:p w14:paraId="6CBF815F">
            <w:pPr>
              <w:pStyle w:val="40"/>
              <w:spacing w:beforeAutospacing="0" w:afterAutospacing="0" w:line="324" w:lineRule="auto"/>
              <w:ind w:firstLine="420"/>
              <w:jc w:val="both"/>
              <w:rPr>
                <w:rFonts w:hint="eastAsia" w:ascii="Times New Roman" w:hAnsi="Times New Roman" w:eastAsia="宋体" w:cs="Times New Roman"/>
                <w:kern w:val="2"/>
                <w:sz w:val="21"/>
                <w:szCs w:val="21"/>
              </w:rPr>
            </w:pPr>
            <w:r>
              <w:rPr>
                <w:rFonts w:hint="eastAsia" w:ascii="Times New Roman" w:hAnsi="Times New Roman" w:eastAsia="宋体" w:cs="Times New Roman"/>
                <w:kern w:val="2"/>
                <w:sz w:val="21"/>
                <w:szCs w:val="21"/>
              </w:rPr>
              <w:t>投标报价得分=(评标基准价/投标报价)×分值</w:t>
            </w:r>
            <w:r>
              <w:rPr>
                <w:rFonts w:ascii="Times New Roman" w:hAnsi="Times New Roman" w:eastAsia="宋体" w:cs="Times New Roman"/>
                <w:kern w:val="2"/>
                <w:sz w:val="21"/>
                <w:szCs w:val="21"/>
              </w:rPr>
              <w:t xml:space="preserve"> </w:t>
            </w:r>
          </w:p>
          <w:p w14:paraId="133715FA">
            <w:pPr>
              <w:pStyle w:val="40"/>
              <w:spacing w:beforeAutospacing="0" w:afterAutospacing="0" w:line="324" w:lineRule="auto"/>
              <w:ind w:firstLine="420"/>
              <w:jc w:val="both"/>
              <w:rPr>
                <w:rFonts w:hint="eastAsia" w:ascii="Times New Roman" w:hAnsi="Times New Roman" w:eastAsia="宋体" w:cs="Times New Roman"/>
                <w:kern w:val="2"/>
                <w:sz w:val="21"/>
                <w:szCs w:val="21"/>
                <w:highlight w:val="yellow"/>
              </w:rPr>
            </w:pPr>
            <w:r>
              <w:rPr>
                <w:rFonts w:ascii="Times New Roman" w:hAnsi="Times New Roman" w:eastAsia="宋体" w:cs="Times New Roman"/>
                <w:kern w:val="2"/>
                <w:sz w:val="21"/>
                <w:szCs w:val="21"/>
                <w:highlight w:val="yellow"/>
              </w:rPr>
              <w:t xml:space="preserve">评标过程中，不得去掉报价中的最高报价和最低报价。 </w:t>
            </w:r>
          </w:p>
          <w:p w14:paraId="4EDF633D">
            <w:pPr>
              <w:pStyle w:val="40"/>
              <w:spacing w:beforeAutospacing="0" w:afterAutospacing="0" w:line="324" w:lineRule="auto"/>
              <w:ind w:firstLine="420"/>
              <w:jc w:val="both"/>
              <w:rPr>
                <w:rFonts w:hint="default" w:ascii="Times New Roman" w:hAnsi="Times New Roman" w:eastAsia="宋体" w:cs="Times New Roman"/>
                <w:kern w:val="2"/>
                <w:sz w:val="21"/>
                <w:szCs w:val="21"/>
                <w:highlight w:val="yellow"/>
                <w:lang w:eastAsia="zh-CN"/>
              </w:rPr>
            </w:pPr>
            <w:r>
              <w:rPr>
                <w:rFonts w:ascii="Times New Roman" w:hAnsi="Times New Roman" w:eastAsia="宋体" w:cs="Times New Roman"/>
                <w:kern w:val="2"/>
                <w:sz w:val="21"/>
                <w:szCs w:val="21"/>
                <w:highlight w:val="yellow"/>
              </w:rPr>
              <w:t xml:space="preserve">此方法适用于货物类、服务类、工程类项目。 </w:t>
            </w:r>
          </w:p>
          <w:tbl>
            <w:tblPr>
              <w:tblStyle w:val="45"/>
              <w:tblW w:w="9147" w:type="dxa"/>
              <w:tblInd w:w="93"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autofit"/>
              <w:tblCellMar>
                <w:top w:w="0" w:type="dxa"/>
                <w:left w:w="108" w:type="dxa"/>
                <w:bottom w:w="0" w:type="dxa"/>
                <w:right w:w="108" w:type="dxa"/>
              </w:tblCellMar>
            </w:tblPr>
            <w:tblGrid>
              <w:gridCol w:w="680"/>
              <w:gridCol w:w="1355"/>
              <w:gridCol w:w="5635"/>
              <w:gridCol w:w="780"/>
              <w:gridCol w:w="697"/>
            </w:tblGrid>
            <w:tr w14:paraId="2E2C0DFD">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83" w:hRule="atLeast"/>
              </w:trPr>
              <w:tc>
                <w:tcPr>
                  <w:tcW w:w="680" w:type="dxa"/>
                  <w:vAlign w:val="center"/>
                </w:tcPr>
                <w:p w14:paraId="33280F96">
                  <w:pPr>
                    <w:ind w:left="-78" w:leftChars="-37" w:right="-73" w:rightChars="-35"/>
                    <w:jc w:val="center"/>
                    <w:rPr>
                      <w:rFonts w:hint="eastAsia" w:ascii="宋体" w:hAnsi="宋体" w:eastAsia="宋体" w:cs="宋体"/>
                      <w:b/>
                      <w:color w:val="auto"/>
                      <w:sz w:val="21"/>
                      <w:szCs w:val="21"/>
                    </w:rPr>
                  </w:pPr>
                  <w:r>
                    <w:rPr>
                      <w:rFonts w:hint="eastAsia" w:ascii="宋体" w:hAnsi="宋体" w:eastAsia="宋体" w:cs="宋体"/>
                      <w:b/>
                      <w:color w:val="auto"/>
                      <w:sz w:val="21"/>
                      <w:szCs w:val="21"/>
                    </w:rPr>
                    <w:t>评审部分</w:t>
                  </w:r>
                </w:p>
              </w:tc>
              <w:tc>
                <w:tcPr>
                  <w:tcW w:w="1355" w:type="dxa"/>
                  <w:vAlign w:val="center"/>
                </w:tcPr>
                <w:p w14:paraId="5E8867D7">
                  <w:pPr>
                    <w:ind w:left="-78" w:leftChars="-37" w:right="-73" w:rightChars="-35"/>
                    <w:jc w:val="center"/>
                    <w:rPr>
                      <w:rFonts w:hint="eastAsia" w:ascii="宋体" w:hAnsi="宋体" w:eastAsia="宋体" w:cs="宋体"/>
                      <w:b/>
                      <w:color w:val="auto"/>
                      <w:sz w:val="21"/>
                      <w:szCs w:val="21"/>
                    </w:rPr>
                  </w:pPr>
                  <w:r>
                    <w:rPr>
                      <w:rFonts w:hint="eastAsia" w:ascii="宋体" w:hAnsi="宋体" w:eastAsia="宋体" w:cs="宋体"/>
                      <w:b/>
                      <w:color w:val="auto"/>
                      <w:sz w:val="21"/>
                      <w:szCs w:val="21"/>
                    </w:rPr>
                    <w:t>评审因素</w:t>
                  </w:r>
                </w:p>
              </w:tc>
              <w:tc>
                <w:tcPr>
                  <w:tcW w:w="5635" w:type="dxa"/>
                  <w:vAlign w:val="center"/>
                </w:tcPr>
                <w:p w14:paraId="2B59CE23">
                  <w:pPr>
                    <w:ind w:left="-78" w:leftChars="-37" w:right="-73" w:rightChars="-35"/>
                    <w:jc w:val="center"/>
                    <w:rPr>
                      <w:rFonts w:hint="eastAsia" w:ascii="宋体" w:hAnsi="宋体" w:eastAsia="宋体" w:cs="宋体"/>
                      <w:b/>
                      <w:color w:val="auto"/>
                      <w:sz w:val="21"/>
                      <w:szCs w:val="21"/>
                    </w:rPr>
                  </w:pPr>
                  <w:r>
                    <w:rPr>
                      <w:rFonts w:hint="eastAsia" w:ascii="宋体" w:hAnsi="宋体" w:eastAsia="宋体" w:cs="宋体"/>
                      <w:b/>
                      <w:color w:val="auto"/>
                      <w:sz w:val="21"/>
                      <w:szCs w:val="21"/>
                    </w:rPr>
                    <w:t>评分细则</w:t>
                  </w:r>
                </w:p>
              </w:tc>
              <w:tc>
                <w:tcPr>
                  <w:tcW w:w="780" w:type="dxa"/>
                  <w:tcBorders>
                    <w:right w:val="single" w:color="auto" w:sz="4" w:space="0"/>
                  </w:tcBorders>
                  <w:vAlign w:val="center"/>
                </w:tcPr>
                <w:p w14:paraId="1619A7BB">
                  <w:pPr>
                    <w:ind w:left="-78" w:leftChars="-37" w:right="-73" w:rightChars="-35"/>
                    <w:jc w:val="center"/>
                    <w:rPr>
                      <w:rFonts w:hint="eastAsia" w:ascii="宋体" w:hAnsi="宋体" w:eastAsia="宋体" w:cs="宋体"/>
                      <w:b/>
                      <w:color w:val="auto"/>
                      <w:sz w:val="21"/>
                      <w:szCs w:val="21"/>
                    </w:rPr>
                  </w:pPr>
                  <w:r>
                    <w:rPr>
                      <w:rFonts w:hint="eastAsia" w:ascii="宋体" w:hAnsi="宋体" w:eastAsia="宋体" w:cs="宋体"/>
                      <w:b/>
                      <w:color w:val="auto"/>
                      <w:sz w:val="21"/>
                      <w:szCs w:val="21"/>
                    </w:rPr>
                    <w:t>权重（%）</w:t>
                  </w:r>
                </w:p>
              </w:tc>
              <w:tc>
                <w:tcPr>
                  <w:tcW w:w="697" w:type="dxa"/>
                  <w:tcBorders>
                    <w:left w:val="single" w:color="auto" w:sz="4" w:space="0"/>
                  </w:tcBorders>
                  <w:vAlign w:val="center"/>
                </w:tcPr>
                <w:p w14:paraId="214F6B1A">
                  <w:pPr>
                    <w:ind w:left="-78" w:leftChars="-37" w:right="-73" w:rightChars="-35"/>
                    <w:jc w:val="center"/>
                    <w:rPr>
                      <w:rFonts w:hint="eastAsia" w:ascii="宋体" w:hAnsi="宋体" w:eastAsia="宋体" w:cs="宋体"/>
                      <w:b/>
                      <w:color w:val="auto"/>
                      <w:sz w:val="21"/>
                      <w:szCs w:val="21"/>
                    </w:rPr>
                  </w:pPr>
                  <w:r>
                    <w:rPr>
                      <w:rFonts w:hint="eastAsia" w:ascii="宋体" w:hAnsi="宋体" w:eastAsia="宋体" w:cs="宋体"/>
                      <w:b/>
                      <w:color w:val="auto"/>
                      <w:sz w:val="21"/>
                      <w:szCs w:val="21"/>
                    </w:rPr>
                    <w:t>分值（分）</w:t>
                  </w:r>
                </w:p>
              </w:tc>
            </w:tr>
            <w:tr w14:paraId="127E6658">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41" w:hRule="atLeast"/>
              </w:trPr>
              <w:tc>
                <w:tcPr>
                  <w:tcW w:w="680" w:type="dxa"/>
                  <w:vAlign w:val="center"/>
                </w:tcPr>
                <w:p w14:paraId="71C697A7">
                  <w:pPr>
                    <w:ind w:left="-78" w:leftChars="-37" w:right="-73" w:rightChars="-35"/>
                    <w:jc w:val="center"/>
                    <w:rPr>
                      <w:rFonts w:hint="eastAsia" w:ascii="宋体" w:hAnsi="宋体" w:eastAsia="宋体" w:cs="宋体"/>
                      <w:b/>
                      <w:color w:val="auto"/>
                      <w:sz w:val="21"/>
                      <w:szCs w:val="21"/>
                    </w:rPr>
                  </w:pPr>
                  <w:r>
                    <w:rPr>
                      <w:rFonts w:hint="eastAsia" w:ascii="宋体" w:hAnsi="宋体" w:eastAsia="宋体" w:cs="宋体"/>
                      <w:b/>
                      <w:color w:val="auto"/>
                      <w:sz w:val="21"/>
                      <w:szCs w:val="21"/>
                    </w:rPr>
                    <w:t>一</w:t>
                  </w:r>
                </w:p>
              </w:tc>
              <w:tc>
                <w:tcPr>
                  <w:tcW w:w="8467" w:type="dxa"/>
                  <w:gridSpan w:val="4"/>
                  <w:vAlign w:val="center"/>
                </w:tcPr>
                <w:p w14:paraId="035FA889">
                  <w:pPr>
                    <w:ind w:left="-78" w:leftChars="-37" w:right="-73" w:rightChars="-35"/>
                    <w:jc w:val="center"/>
                    <w:rPr>
                      <w:rFonts w:hint="eastAsia" w:ascii="宋体" w:hAnsi="宋体" w:eastAsia="宋体" w:cs="宋体"/>
                      <w:b/>
                      <w:color w:val="auto"/>
                      <w:sz w:val="21"/>
                      <w:szCs w:val="21"/>
                    </w:rPr>
                  </w:pPr>
                  <w:r>
                    <w:rPr>
                      <w:rFonts w:hint="eastAsia" w:ascii="宋体" w:hAnsi="宋体" w:eastAsia="宋体" w:cs="宋体"/>
                      <w:b/>
                      <w:color w:val="auto"/>
                      <w:sz w:val="21"/>
                      <w:szCs w:val="21"/>
                    </w:rPr>
                    <w:t>技术部分（</w:t>
                  </w:r>
                  <w:r>
                    <w:rPr>
                      <w:rFonts w:hint="eastAsia" w:ascii="宋体" w:hAnsi="宋体" w:eastAsia="宋体" w:cs="宋体"/>
                      <w:b/>
                      <w:color w:val="auto"/>
                      <w:sz w:val="21"/>
                      <w:szCs w:val="21"/>
                      <w:highlight w:val="none"/>
                      <w:lang w:val="en-US" w:eastAsia="zh-CN"/>
                    </w:rPr>
                    <w:t>32</w:t>
                  </w:r>
                  <w:r>
                    <w:rPr>
                      <w:rFonts w:hint="eastAsia" w:ascii="宋体" w:hAnsi="宋体" w:eastAsia="宋体" w:cs="宋体"/>
                      <w:b/>
                      <w:color w:val="auto"/>
                      <w:sz w:val="21"/>
                      <w:szCs w:val="21"/>
                      <w:highlight w:val="none"/>
                    </w:rPr>
                    <w:t>分</w:t>
                  </w:r>
                  <w:r>
                    <w:rPr>
                      <w:rFonts w:hint="eastAsia" w:ascii="宋体" w:hAnsi="宋体" w:eastAsia="宋体" w:cs="宋体"/>
                      <w:b/>
                      <w:color w:val="auto"/>
                      <w:sz w:val="21"/>
                      <w:szCs w:val="21"/>
                    </w:rPr>
                    <w:t>）</w:t>
                  </w:r>
                </w:p>
              </w:tc>
            </w:tr>
            <w:tr w14:paraId="3C1AB8E8">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83" w:hRule="atLeast"/>
              </w:trPr>
              <w:tc>
                <w:tcPr>
                  <w:tcW w:w="680" w:type="dxa"/>
                  <w:tcBorders>
                    <w:bottom w:val="single" w:color="auto" w:sz="4" w:space="0"/>
                  </w:tcBorders>
                  <w:vAlign w:val="center"/>
                </w:tcPr>
                <w:p w14:paraId="51970F7F">
                  <w:pPr>
                    <w:pStyle w:val="186"/>
                    <w:numPr>
                      <w:ilvl w:val="0"/>
                      <w:numId w:val="7"/>
                    </w:numPr>
                    <w:ind w:firstLineChars="0"/>
                    <w:jc w:val="right"/>
                    <w:rPr>
                      <w:rFonts w:hint="eastAsia" w:ascii="宋体" w:hAnsi="宋体" w:eastAsia="宋体" w:cs="宋体"/>
                      <w:color w:val="auto"/>
                      <w:sz w:val="21"/>
                      <w:szCs w:val="21"/>
                    </w:rPr>
                  </w:pPr>
                </w:p>
              </w:tc>
              <w:tc>
                <w:tcPr>
                  <w:tcW w:w="1355" w:type="dxa"/>
                  <w:vAlign w:val="center"/>
                </w:tcPr>
                <w:p w14:paraId="2F98F063">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实施方案</w:t>
                  </w:r>
                </w:p>
              </w:tc>
              <w:tc>
                <w:tcPr>
                  <w:tcW w:w="5635" w:type="dxa"/>
                  <w:vAlign w:val="center"/>
                </w:tcPr>
                <w:p w14:paraId="23AD17A6">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宋体" w:hAnsi="宋体" w:eastAsia="宋体" w:cs="宋体"/>
                      <w:color w:val="auto"/>
                      <w:kern w:val="0"/>
                      <w:sz w:val="21"/>
                      <w:szCs w:val="21"/>
                    </w:rPr>
                  </w:pPr>
                  <w:r>
                    <w:rPr>
                      <w:rFonts w:hint="eastAsia" w:ascii="宋体" w:hAnsi="宋体" w:eastAsia="宋体" w:cs="宋体"/>
                      <w:b/>
                      <w:color w:val="auto"/>
                      <w:kern w:val="0"/>
                      <w:sz w:val="21"/>
                      <w:szCs w:val="21"/>
                    </w:rPr>
                    <w:t>评审标准：</w:t>
                  </w:r>
                  <w:r>
                    <w:rPr>
                      <w:rFonts w:hint="eastAsia" w:ascii="宋体" w:hAnsi="宋体" w:eastAsia="宋体" w:cs="宋体"/>
                      <w:color w:val="auto"/>
                      <w:kern w:val="0"/>
                      <w:sz w:val="21"/>
                      <w:szCs w:val="21"/>
                    </w:rPr>
                    <w:t>投标人针对本项目的整体管理设想、整体运作规划、组织机构、服务团队配置、人员培训计划、管理措施等提出具体实施方案。</w:t>
                  </w:r>
                </w:p>
                <w:p w14:paraId="708F3D1A">
                  <w:pPr>
                    <w:keepNext w:val="0"/>
                    <w:keepLines w:val="0"/>
                    <w:pageBreakBefore w:val="0"/>
                    <w:widowControl w:val="0"/>
                    <w:kinsoku/>
                    <w:wordWrap w:val="0"/>
                    <w:overflowPunct/>
                    <w:topLinePunct w:val="0"/>
                    <w:autoSpaceDE/>
                    <w:autoSpaceDN/>
                    <w:bidi w:val="0"/>
                    <w:adjustRightInd w:val="0"/>
                    <w:snapToGrid w:val="0"/>
                    <w:ind w:firstLine="0" w:firstLineChars="0"/>
                    <w:textAlignment w:val="auto"/>
                    <w:rPr>
                      <w:rFonts w:hint="eastAsia" w:ascii="宋体" w:hAnsi="宋体" w:eastAsia="宋体" w:cs="宋体"/>
                      <w:szCs w:val="21"/>
                    </w:rPr>
                  </w:pPr>
                  <w:r>
                    <w:rPr>
                      <w:rFonts w:hint="eastAsia" w:ascii="宋体" w:hAnsi="宋体" w:eastAsia="宋体" w:cs="宋体"/>
                      <w:szCs w:val="21"/>
                    </w:rPr>
                    <w:t xml:space="preserve">1、评审委员会根据招标文件的需求和投标文件的内容响应情况进行评分： </w:t>
                  </w:r>
                </w:p>
                <w:p w14:paraId="6A1CA675">
                  <w:pPr>
                    <w:pStyle w:val="17"/>
                    <w:keepNext w:val="0"/>
                    <w:keepLines w:val="0"/>
                    <w:pageBreakBefore w:val="0"/>
                    <w:widowControl w:val="0"/>
                    <w:numPr>
                      <w:ilvl w:val="0"/>
                      <w:numId w:val="0"/>
                    </w:numPr>
                    <w:kinsoku/>
                    <w:overflowPunct/>
                    <w:topLinePunct w:val="0"/>
                    <w:autoSpaceDE/>
                    <w:autoSpaceDN/>
                    <w:bidi w:val="0"/>
                    <w:adjustRightInd w:val="0"/>
                    <w:snapToGrid w:val="0"/>
                    <w:ind w:left="425" w:leftChars="0" w:hanging="425" w:firstLineChars="0"/>
                    <w:textAlignment w:val="auto"/>
                    <w:rPr>
                      <w:rFonts w:hint="eastAsia" w:ascii="宋体" w:hAnsi="宋体" w:eastAsia="宋体" w:cs="宋体"/>
                      <w:color w:val="auto"/>
                      <w:kern w:val="0"/>
                      <w:sz w:val="21"/>
                      <w:szCs w:val="21"/>
                      <w:lang w:eastAsia="zh-CN"/>
                    </w:rPr>
                  </w:pPr>
                  <w:r>
                    <w:rPr>
                      <w:rFonts w:hint="eastAsia" w:ascii="宋体" w:hAnsi="宋体" w:eastAsia="宋体" w:cs="宋体"/>
                      <w:color w:val="auto"/>
                      <w:kern w:val="0"/>
                      <w:sz w:val="21"/>
                      <w:szCs w:val="21"/>
                      <w:lang w:eastAsia="zh-CN"/>
                    </w:rPr>
                    <w:t>（</w:t>
                  </w:r>
                  <w:r>
                    <w:rPr>
                      <w:rFonts w:hint="eastAsia" w:ascii="宋体" w:hAnsi="宋体" w:eastAsia="宋体" w:cs="宋体"/>
                      <w:color w:val="auto"/>
                      <w:kern w:val="0"/>
                      <w:sz w:val="21"/>
                      <w:szCs w:val="21"/>
                      <w:lang w:val="en-US" w:eastAsia="zh-CN"/>
                    </w:rPr>
                    <w:t>1</w:t>
                  </w:r>
                  <w:r>
                    <w:rPr>
                      <w:rFonts w:hint="eastAsia" w:ascii="宋体" w:hAnsi="宋体" w:eastAsia="宋体" w:cs="宋体"/>
                      <w:color w:val="auto"/>
                      <w:kern w:val="0"/>
                      <w:sz w:val="21"/>
                      <w:szCs w:val="21"/>
                      <w:lang w:eastAsia="zh-CN"/>
                    </w:rPr>
                    <w:t>）</w:t>
                  </w:r>
                  <w:r>
                    <w:rPr>
                      <w:rFonts w:hint="eastAsia" w:ascii="宋体" w:hAnsi="宋体" w:eastAsia="宋体" w:cs="宋体"/>
                      <w:color w:val="auto"/>
                      <w:kern w:val="0"/>
                      <w:sz w:val="21"/>
                      <w:szCs w:val="21"/>
                    </w:rPr>
                    <w:t>整体管理设想</w:t>
                  </w:r>
                  <w:r>
                    <w:rPr>
                      <w:rFonts w:hint="eastAsia" w:ascii="宋体" w:hAnsi="宋体" w:eastAsia="宋体" w:cs="宋体"/>
                      <w:color w:val="auto"/>
                      <w:kern w:val="0"/>
                      <w:sz w:val="21"/>
                      <w:szCs w:val="21"/>
                      <w:lang w:eastAsia="zh-CN"/>
                    </w:rPr>
                    <w:t>；</w:t>
                  </w:r>
                </w:p>
                <w:p w14:paraId="6CA63D42">
                  <w:pPr>
                    <w:keepNext w:val="0"/>
                    <w:keepLines w:val="0"/>
                    <w:pageBreakBefore w:val="0"/>
                    <w:widowControl w:val="0"/>
                    <w:kinsoku/>
                    <w:wordWrap w:val="0"/>
                    <w:overflowPunct/>
                    <w:topLinePunct w:val="0"/>
                    <w:autoSpaceDE/>
                    <w:autoSpaceDN/>
                    <w:bidi w:val="0"/>
                    <w:adjustRightInd w:val="0"/>
                    <w:snapToGrid w:val="0"/>
                    <w:ind w:firstLine="0" w:firstLineChars="0"/>
                    <w:textAlignment w:val="auto"/>
                    <w:rPr>
                      <w:rFonts w:hint="eastAsia" w:ascii="宋体" w:hAnsi="宋体" w:eastAsia="宋体" w:cs="宋体"/>
                      <w:szCs w:val="21"/>
                    </w:rPr>
                  </w:pPr>
                  <w:r>
                    <w:rPr>
                      <w:rFonts w:hint="eastAsia" w:ascii="宋体" w:hAnsi="宋体" w:eastAsia="宋体" w:cs="宋体"/>
                      <w:szCs w:val="21"/>
                      <w:lang w:eastAsia="zh-CN"/>
                    </w:rPr>
                    <w:t>（</w:t>
                  </w:r>
                  <w:r>
                    <w:rPr>
                      <w:rFonts w:hint="eastAsia" w:ascii="宋体" w:hAnsi="宋体" w:eastAsia="宋体" w:cs="宋体"/>
                      <w:szCs w:val="21"/>
                      <w:lang w:val="en-US" w:eastAsia="zh-CN"/>
                    </w:rPr>
                    <w:t>2</w:t>
                  </w:r>
                  <w:r>
                    <w:rPr>
                      <w:rFonts w:hint="eastAsia" w:ascii="宋体" w:hAnsi="宋体" w:eastAsia="宋体" w:cs="宋体"/>
                      <w:szCs w:val="21"/>
                      <w:lang w:eastAsia="zh-CN"/>
                    </w:rPr>
                    <w:t>）</w:t>
                  </w:r>
                  <w:r>
                    <w:rPr>
                      <w:rFonts w:hint="eastAsia" w:ascii="宋体" w:hAnsi="宋体" w:eastAsia="宋体" w:cs="宋体"/>
                      <w:szCs w:val="21"/>
                    </w:rPr>
                    <w:t>整体运作规划</w:t>
                  </w:r>
                  <w:r>
                    <w:rPr>
                      <w:rFonts w:hint="eastAsia" w:ascii="宋体" w:hAnsi="宋体" w:eastAsia="宋体" w:cs="宋体"/>
                      <w:szCs w:val="21"/>
                      <w:lang w:eastAsia="zh-CN"/>
                    </w:rPr>
                    <w:t>；</w:t>
                  </w:r>
                </w:p>
                <w:p w14:paraId="1A9D1FC6">
                  <w:pPr>
                    <w:keepNext w:val="0"/>
                    <w:keepLines w:val="0"/>
                    <w:pageBreakBefore w:val="0"/>
                    <w:widowControl w:val="0"/>
                    <w:kinsoku/>
                    <w:wordWrap w:val="0"/>
                    <w:overflowPunct/>
                    <w:topLinePunct w:val="0"/>
                    <w:autoSpaceDE/>
                    <w:autoSpaceDN/>
                    <w:bidi w:val="0"/>
                    <w:adjustRightInd w:val="0"/>
                    <w:snapToGrid w:val="0"/>
                    <w:ind w:firstLine="0" w:firstLineChars="0"/>
                    <w:textAlignment w:val="auto"/>
                    <w:rPr>
                      <w:rFonts w:hint="eastAsia" w:ascii="宋体" w:hAnsi="宋体" w:eastAsia="宋体" w:cs="宋体"/>
                      <w:szCs w:val="21"/>
                    </w:rPr>
                  </w:pPr>
                  <w:r>
                    <w:rPr>
                      <w:rFonts w:hint="eastAsia" w:ascii="宋体" w:hAnsi="宋体" w:eastAsia="宋体" w:cs="宋体"/>
                      <w:szCs w:val="21"/>
                      <w:lang w:eastAsia="zh-CN"/>
                    </w:rPr>
                    <w:t>（</w:t>
                  </w:r>
                  <w:r>
                    <w:rPr>
                      <w:rFonts w:hint="eastAsia" w:ascii="宋体" w:hAnsi="宋体" w:eastAsia="宋体" w:cs="宋体"/>
                      <w:szCs w:val="21"/>
                      <w:lang w:val="en-US" w:eastAsia="zh-CN"/>
                    </w:rPr>
                    <w:t>3</w:t>
                  </w:r>
                  <w:r>
                    <w:rPr>
                      <w:rFonts w:hint="eastAsia" w:ascii="宋体" w:hAnsi="宋体" w:eastAsia="宋体" w:cs="宋体"/>
                      <w:szCs w:val="21"/>
                      <w:lang w:eastAsia="zh-CN"/>
                    </w:rPr>
                    <w:t>）</w:t>
                  </w:r>
                  <w:r>
                    <w:rPr>
                      <w:rFonts w:hint="eastAsia" w:ascii="宋体" w:hAnsi="宋体" w:eastAsia="宋体" w:cs="宋体"/>
                      <w:szCs w:val="21"/>
                    </w:rPr>
                    <w:t>组织机构</w:t>
                  </w:r>
                  <w:r>
                    <w:rPr>
                      <w:rFonts w:hint="eastAsia" w:ascii="宋体" w:hAnsi="宋体" w:eastAsia="宋体" w:cs="宋体"/>
                      <w:szCs w:val="21"/>
                      <w:lang w:eastAsia="zh-CN"/>
                    </w:rPr>
                    <w:t>；</w:t>
                  </w:r>
                </w:p>
                <w:p w14:paraId="7036F16A">
                  <w:pPr>
                    <w:keepNext w:val="0"/>
                    <w:keepLines w:val="0"/>
                    <w:pageBreakBefore w:val="0"/>
                    <w:widowControl w:val="0"/>
                    <w:kinsoku/>
                    <w:wordWrap w:val="0"/>
                    <w:overflowPunct/>
                    <w:topLinePunct w:val="0"/>
                    <w:autoSpaceDE/>
                    <w:autoSpaceDN/>
                    <w:bidi w:val="0"/>
                    <w:adjustRightInd w:val="0"/>
                    <w:snapToGrid w:val="0"/>
                    <w:ind w:firstLine="0" w:firstLineChars="0"/>
                    <w:textAlignment w:val="auto"/>
                    <w:rPr>
                      <w:rFonts w:hint="eastAsia" w:ascii="宋体" w:hAnsi="宋体" w:eastAsia="宋体" w:cs="宋体"/>
                      <w:szCs w:val="21"/>
                    </w:rPr>
                  </w:pPr>
                  <w:r>
                    <w:rPr>
                      <w:rFonts w:hint="eastAsia" w:ascii="宋体" w:hAnsi="宋体" w:eastAsia="宋体" w:cs="宋体"/>
                      <w:szCs w:val="21"/>
                      <w:lang w:eastAsia="zh-CN"/>
                    </w:rPr>
                    <w:t>（</w:t>
                  </w:r>
                  <w:r>
                    <w:rPr>
                      <w:rFonts w:hint="eastAsia" w:ascii="宋体" w:hAnsi="宋体" w:eastAsia="宋体" w:cs="宋体"/>
                      <w:szCs w:val="21"/>
                      <w:lang w:val="en-US" w:eastAsia="zh-CN"/>
                    </w:rPr>
                    <w:t>4</w:t>
                  </w:r>
                  <w:r>
                    <w:rPr>
                      <w:rFonts w:hint="eastAsia" w:ascii="宋体" w:hAnsi="宋体" w:eastAsia="宋体" w:cs="宋体"/>
                      <w:szCs w:val="21"/>
                      <w:lang w:eastAsia="zh-CN"/>
                    </w:rPr>
                    <w:t>）</w:t>
                  </w:r>
                  <w:r>
                    <w:rPr>
                      <w:rFonts w:hint="eastAsia" w:ascii="宋体" w:hAnsi="宋体" w:eastAsia="宋体" w:cs="宋体"/>
                      <w:szCs w:val="21"/>
                    </w:rPr>
                    <w:t>服务团队配置</w:t>
                  </w:r>
                  <w:r>
                    <w:rPr>
                      <w:rFonts w:hint="eastAsia" w:ascii="宋体" w:hAnsi="宋体" w:eastAsia="宋体" w:cs="宋体"/>
                      <w:szCs w:val="21"/>
                      <w:lang w:eastAsia="zh-CN"/>
                    </w:rPr>
                    <w:t>；</w:t>
                  </w:r>
                </w:p>
                <w:p w14:paraId="31DEC956">
                  <w:pPr>
                    <w:keepNext w:val="0"/>
                    <w:keepLines w:val="0"/>
                    <w:pageBreakBefore w:val="0"/>
                    <w:widowControl w:val="0"/>
                    <w:kinsoku/>
                    <w:wordWrap w:val="0"/>
                    <w:overflowPunct/>
                    <w:topLinePunct w:val="0"/>
                    <w:autoSpaceDE/>
                    <w:autoSpaceDN/>
                    <w:bidi w:val="0"/>
                    <w:adjustRightInd w:val="0"/>
                    <w:snapToGrid w:val="0"/>
                    <w:ind w:firstLine="0" w:firstLineChars="0"/>
                    <w:textAlignment w:val="auto"/>
                    <w:rPr>
                      <w:rFonts w:hint="eastAsia" w:ascii="宋体" w:hAnsi="宋体" w:eastAsia="宋体" w:cs="宋体"/>
                      <w:szCs w:val="21"/>
                    </w:rPr>
                  </w:pPr>
                  <w:r>
                    <w:rPr>
                      <w:rFonts w:hint="eastAsia" w:ascii="宋体" w:hAnsi="宋体" w:eastAsia="宋体" w:cs="宋体"/>
                      <w:szCs w:val="21"/>
                      <w:lang w:eastAsia="zh-CN"/>
                    </w:rPr>
                    <w:t>（</w:t>
                  </w:r>
                  <w:r>
                    <w:rPr>
                      <w:rFonts w:hint="eastAsia" w:ascii="宋体" w:hAnsi="宋体" w:eastAsia="宋体" w:cs="宋体"/>
                      <w:szCs w:val="21"/>
                      <w:lang w:val="en-US" w:eastAsia="zh-CN"/>
                    </w:rPr>
                    <w:t>5</w:t>
                  </w:r>
                  <w:r>
                    <w:rPr>
                      <w:rFonts w:hint="eastAsia" w:ascii="宋体" w:hAnsi="宋体" w:eastAsia="宋体" w:cs="宋体"/>
                      <w:szCs w:val="21"/>
                      <w:lang w:eastAsia="zh-CN"/>
                    </w:rPr>
                    <w:t>）</w:t>
                  </w:r>
                  <w:r>
                    <w:rPr>
                      <w:rFonts w:hint="eastAsia" w:ascii="宋体" w:hAnsi="宋体" w:eastAsia="宋体" w:cs="宋体"/>
                      <w:szCs w:val="21"/>
                    </w:rPr>
                    <w:t>人员培训计划</w:t>
                  </w:r>
                  <w:r>
                    <w:rPr>
                      <w:rFonts w:hint="eastAsia" w:ascii="宋体" w:hAnsi="宋体" w:eastAsia="宋体" w:cs="宋体"/>
                      <w:szCs w:val="21"/>
                      <w:lang w:eastAsia="zh-CN"/>
                    </w:rPr>
                    <w:t>；</w:t>
                  </w:r>
                </w:p>
                <w:p w14:paraId="3620D41A">
                  <w:pPr>
                    <w:keepNext w:val="0"/>
                    <w:keepLines w:val="0"/>
                    <w:pageBreakBefore w:val="0"/>
                    <w:widowControl w:val="0"/>
                    <w:kinsoku/>
                    <w:wordWrap w:val="0"/>
                    <w:overflowPunct/>
                    <w:topLinePunct w:val="0"/>
                    <w:autoSpaceDE/>
                    <w:autoSpaceDN/>
                    <w:bidi w:val="0"/>
                    <w:adjustRightInd w:val="0"/>
                    <w:snapToGrid w:val="0"/>
                    <w:ind w:firstLine="0" w:firstLineChars="0"/>
                    <w:textAlignment w:val="auto"/>
                    <w:rPr>
                      <w:rFonts w:hint="eastAsia" w:ascii="宋体" w:hAnsi="宋体" w:eastAsia="宋体" w:cs="宋体"/>
                      <w:szCs w:val="21"/>
                    </w:rPr>
                  </w:pPr>
                  <w:r>
                    <w:rPr>
                      <w:rFonts w:hint="eastAsia" w:ascii="宋体" w:hAnsi="宋体" w:eastAsia="宋体" w:cs="宋体"/>
                      <w:szCs w:val="21"/>
                      <w:lang w:eastAsia="zh-CN"/>
                    </w:rPr>
                    <w:t>（</w:t>
                  </w:r>
                  <w:r>
                    <w:rPr>
                      <w:rFonts w:hint="eastAsia" w:ascii="宋体" w:hAnsi="宋体" w:eastAsia="宋体" w:cs="宋体"/>
                      <w:szCs w:val="21"/>
                      <w:lang w:val="en-US" w:eastAsia="zh-CN"/>
                    </w:rPr>
                    <w:t>6</w:t>
                  </w:r>
                  <w:r>
                    <w:rPr>
                      <w:rFonts w:hint="eastAsia" w:ascii="宋体" w:hAnsi="宋体" w:eastAsia="宋体" w:cs="宋体"/>
                      <w:szCs w:val="21"/>
                      <w:lang w:eastAsia="zh-CN"/>
                    </w:rPr>
                    <w:t>）</w:t>
                  </w:r>
                  <w:r>
                    <w:rPr>
                      <w:rFonts w:hint="eastAsia" w:ascii="宋体" w:hAnsi="宋体" w:eastAsia="宋体" w:cs="宋体"/>
                      <w:szCs w:val="21"/>
                    </w:rPr>
                    <w:t>管理措施</w:t>
                  </w:r>
                  <w:r>
                    <w:rPr>
                      <w:rFonts w:hint="eastAsia" w:ascii="宋体" w:hAnsi="宋体" w:eastAsia="宋体" w:cs="宋体"/>
                      <w:szCs w:val="21"/>
                      <w:lang w:eastAsia="zh-CN"/>
                    </w:rPr>
                    <w:t>。</w:t>
                  </w:r>
                </w:p>
                <w:p w14:paraId="7421AF5A">
                  <w:pPr>
                    <w:keepNext w:val="0"/>
                    <w:keepLines w:val="0"/>
                    <w:pageBreakBefore w:val="0"/>
                    <w:widowControl w:val="0"/>
                    <w:kinsoku/>
                    <w:wordWrap w:val="0"/>
                    <w:overflowPunct/>
                    <w:topLinePunct w:val="0"/>
                    <w:autoSpaceDE/>
                    <w:autoSpaceDN/>
                    <w:bidi w:val="0"/>
                    <w:adjustRightInd w:val="0"/>
                    <w:snapToGrid w:val="0"/>
                    <w:ind w:firstLine="0" w:firstLineChars="0"/>
                    <w:textAlignment w:val="auto"/>
                    <w:rPr>
                      <w:rFonts w:hint="eastAsia" w:ascii="宋体" w:hAnsi="宋体" w:eastAsia="宋体" w:cs="宋体"/>
                      <w:szCs w:val="21"/>
                    </w:rPr>
                  </w:pPr>
                  <w:r>
                    <w:rPr>
                      <w:rFonts w:hint="eastAsia" w:ascii="宋体" w:hAnsi="宋体" w:eastAsia="宋体" w:cs="宋体"/>
                      <w:szCs w:val="21"/>
                    </w:rPr>
                    <w:t>每体现一点内容加</w:t>
                  </w:r>
                  <w:r>
                    <w:rPr>
                      <w:rFonts w:hint="eastAsia" w:ascii="宋体" w:hAnsi="宋体" w:eastAsia="宋体" w:cs="宋体"/>
                      <w:szCs w:val="21"/>
                      <w:lang w:val="en-US" w:eastAsia="zh-CN"/>
                    </w:rPr>
                    <w:t>2</w:t>
                  </w:r>
                  <w:r>
                    <w:rPr>
                      <w:rFonts w:hint="eastAsia" w:ascii="宋体" w:hAnsi="宋体" w:eastAsia="宋体" w:cs="宋体"/>
                      <w:szCs w:val="21"/>
                    </w:rPr>
                    <w:t>分，最多加</w:t>
                  </w:r>
                  <w:r>
                    <w:rPr>
                      <w:rFonts w:hint="eastAsia" w:ascii="宋体" w:hAnsi="宋体" w:eastAsia="宋体" w:cs="宋体"/>
                      <w:szCs w:val="21"/>
                      <w:lang w:val="en-US" w:eastAsia="zh-CN"/>
                    </w:rPr>
                    <w:t>12</w:t>
                  </w:r>
                  <w:r>
                    <w:rPr>
                      <w:rFonts w:hint="eastAsia" w:ascii="宋体" w:hAnsi="宋体" w:eastAsia="宋体" w:cs="宋体"/>
                      <w:szCs w:val="21"/>
                    </w:rPr>
                    <w:t>分。</w:t>
                  </w:r>
                </w:p>
                <w:p w14:paraId="352C93FD">
                  <w:pPr>
                    <w:keepNext w:val="0"/>
                    <w:keepLines w:val="0"/>
                    <w:pageBreakBefore w:val="0"/>
                    <w:widowControl w:val="0"/>
                    <w:kinsoku/>
                    <w:wordWrap w:val="0"/>
                    <w:overflowPunct/>
                    <w:topLinePunct w:val="0"/>
                    <w:autoSpaceDE/>
                    <w:autoSpaceDN/>
                    <w:bidi w:val="0"/>
                    <w:adjustRightInd w:val="0"/>
                    <w:snapToGrid w:val="0"/>
                    <w:ind w:firstLine="0" w:firstLineChars="0"/>
                    <w:textAlignment w:val="auto"/>
                    <w:rPr>
                      <w:rFonts w:hint="eastAsia" w:ascii="宋体" w:hAnsi="宋体" w:eastAsia="宋体" w:cs="宋体"/>
                      <w:szCs w:val="21"/>
                    </w:rPr>
                  </w:pPr>
                  <w:r>
                    <w:rPr>
                      <w:rFonts w:hint="eastAsia" w:ascii="宋体" w:hAnsi="宋体" w:eastAsia="宋体" w:cs="宋体"/>
                      <w:szCs w:val="21"/>
                    </w:rPr>
                    <w:t>2、在此基础上，评审委员会根据各投标人的具体响应情况按照以下评审标准进一步评审：</w:t>
                  </w:r>
                </w:p>
                <w:p w14:paraId="3C860150">
                  <w:pPr>
                    <w:keepNext w:val="0"/>
                    <w:keepLines w:val="0"/>
                    <w:pageBreakBefore w:val="0"/>
                    <w:widowControl w:val="0"/>
                    <w:kinsoku/>
                    <w:wordWrap w:val="0"/>
                    <w:overflowPunct/>
                    <w:topLinePunct w:val="0"/>
                    <w:autoSpaceDE/>
                    <w:autoSpaceDN/>
                    <w:bidi w:val="0"/>
                    <w:adjustRightInd w:val="0"/>
                    <w:snapToGrid w:val="0"/>
                    <w:ind w:firstLine="0" w:firstLineChars="0"/>
                    <w:textAlignment w:val="auto"/>
                    <w:rPr>
                      <w:rFonts w:hint="eastAsia" w:ascii="宋体" w:hAnsi="宋体" w:eastAsia="宋体" w:cs="宋体"/>
                      <w:szCs w:val="21"/>
                    </w:rPr>
                  </w:pPr>
                  <w:r>
                    <w:rPr>
                      <w:rFonts w:hint="eastAsia" w:ascii="宋体" w:hAnsi="宋体" w:eastAsia="宋体" w:cs="宋体"/>
                      <w:szCs w:val="21"/>
                    </w:rPr>
                    <w:t>评审为优（方案整体科学合理、针对性强、可操作性强、条理非常清晰的）的加</w:t>
                  </w:r>
                  <w:r>
                    <w:rPr>
                      <w:rFonts w:hint="eastAsia" w:ascii="宋体" w:hAnsi="宋体" w:eastAsia="宋体" w:cs="宋体"/>
                      <w:szCs w:val="21"/>
                      <w:lang w:val="en-US" w:eastAsia="zh-CN"/>
                    </w:rPr>
                    <w:t>5</w:t>
                  </w:r>
                  <w:r>
                    <w:rPr>
                      <w:rFonts w:hint="eastAsia" w:ascii="宋体" w:hAnsi="宋体" w:eastAsia="宋体" w:cs="宋体"/>
                      <w:szCs w:val="21"/>
                    </w:rPr>
                    <w:t>分；</w:t>
                  </w:r>
                </w:p>
                <w:p w14:paraId="01AF43C6">
                  <w:pPr>
                    <w:keepNext w:val="0"/>
                    <w:keepLines w:val="0"/>
                    <w:pageBreakBefore w:val="0"/>
                    <w:widowControl w:val="0"/>
                    <w:kinsoku/>
                    <w:wordWrap w:val="0"/>
                    <w:overflowPunct/>
                    <w:topLinePunct w:val="0"/>
                    <w:autoSpaceDE/>
                    <w:autoSpaceDN/>
                    <w:bidi w:val="0"/>
                    <w:adjustRightInd w:val="0"/>
                    <w:snapToGrid w:val="0"/>
                    <w:ind w:firstLine="0" w:firstLineChars="0"/>
                    <w:textAlignment w:val="auto"/>
                    <w:rPr>
                      <w:rFonts w:hint="eastAsia" w:ascii="宋体" w:hAnsi="宋体" w:eastAsia="宋体" w:cs="宋体"/>
                      <w:szCs w:val="21"/>
                    </w:rPr>
                  </w:pPr>
                  <w:r>
                    <w:rPr>
                      <w:rFonts w:hint="eastAsia" w:ascii="宋体" w:hAnsi="宋体" w:eastAsia="宋体" w:cs="宋体"/>
                      <w:szCs w:val="21"/>
                    </w:rPr>
                    <w:t>评审为良（方案整体较比科学合理、有较强针对性、有较强可操作性、比较条理清晰的）的加</w:t>
                  </w:r>
                  <w:r>
                    <w:rPr>
                      <w:rFonts w:hint="eastAsia" w:ascii="宋体" w:hAnsi="宋体" w:eastAsia="宋体" w:cs="宋体"/>
                      <w:szCs w:val="21"/>
                      <w:lang w:val="en-US" w:eastAsia="zh-CN"/>
                    </w:rPr>
                    <w:t>2</w:t>
                  </w:r>
                  <w:r>
                    <w:rPr>
                      <w:rFonts w:hint="eastAsia" w:ascii="宋体" w:hAnsi="宋体" w:eastAsia="宋体" w:cs="宋体"/>
                      <w:szCs w:val="21"/>
                    </w:rPr>
                    <w:t>分；</w:t>
                  </w:r>
                </w:p>
                <w:p w14:paraId="794A588A">
                  <w:pPr>
                    <w:keepNext w:val="0"/>
                    <w:keepLines w:val="0"/>
                    <w:pageBreakBefore w:val="0"/>
                    <w:widowControl w:val="0"/>
                    <w:kinsoku/>
                    <w:wordWrap w:val="0"/>
                    <w:overflowPunct/>
                    <w:topLinePunct w:val="0"/>
                    <w:autoSpaceDE/>
                    <w:autoSpaceDN/>
                    <w:bidi w:val="0"/>
                    <w:adjustRightInd w:val="0"/>
                    <w:snapToGrid w:val="0"/>
                    <w:ind w:firstLine="0" w:firstLineChars="0"/>
                    <w:textAlignment w:val="auto"/>
                    <w:rPr>
                      <w:rFonts w:hint="eastAsia" w:ascii="宋体" w:hAnsi="宋体" w:eastAsia="宋体" w:cs="宋体"/>
                      <w:szCs w:val="21"/>
                    </w:rPr>
                  </w:pPr>
                  <w:r>
                    <w:rPr>
                      <w:rFonts w:hint="eastAsia" w:ascii="宋体" w:hAnsi="宋体" w:eastAsia="宋体" w:cs="宋体"/>
                      <w:szCs w:val="21"/>
                    </w:rPr>
                    <w:t>评审为中（方案整体科学合理性一般、针对性一般、可操作性一般，条理清晰度一般的）的加1分；</w:t>
                  </w:r>
                </w:p>
                <w:p w14:paraId="24C377C8">
                  <w:pPr>
                    <w:keepNext w:val="0"/>
                    <w:keepLines w:val="0"/>
                    <w:pageBreakBefore w:val="0"/>
                    <w:widowControl w:val="0"/>
                    <w:kinsoku/>
                    <w:wordWrap w:val="0"/>
                    <w:overflowPunct/>
                    <w:topLinePunct w:val="0"/>
                    <w:autoSpaceDE/>
                    <w:autoSpaceDN/>
                    <w:bidi w:val="0"/>
                    <w:adjustRightInd w:val="0"/>
                    <w:snapToGrid w:val="0"/>
                    <w:ind w:firstLine="0" w:firstLineChars="0"/>
                    <w:textAlignment w:val="auto"/>
                    <w:rPr>
                      <w:rFonts w:hint="eastAsia" w:ascii="宋体" w:hAnsi="宋体" w:eastAsia="宋体" w:cs="宋体"/>
                      <w:color w:val="auto"/>
                      <w:sz w:val="21"/>
                      <w:szCs w:val="21"/>
                    </w:rPr>
                  </w:pPr>
                  <w:r>
                    <w:rPr>
                      <w:rFonts w:hint="eastAsia" w:ascii="宋体" w:hAnsi="宋体" w:eastAsia="宋体" w:cs="宋体"/>
                      <w:szCs w:val="21"/>
                    </w:rPr>
                    <w:t>评审为差（如不满足项目要求的）的不加分。</w:t>
                  </w:r>
                </w:p>
              </w:tc>
              <w:tc>
                <w:tcPr>
                  <w:tcW w:w="780" w:type="dxa"/>
                  <w:tcBorders>
                    <w:right w:val="single" w:color="auto" w:sz="4" w:space="0"/>
                  </w:tcBorders>
                  <w:vAlign w:val="center"/>
                </w:tcPr>
                <w:p w14:paraId="77380C09">
                  <w:pPr>
                    <w:ind w:left="-78" w:leftChars="-37" w:right="-73" w:rightChars="-35"/>
                    <w:jc w:val="center"/>
                    <w:rPr>
                      <w:rFonts w:hint="default"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17</w:t>
                  </w:r>
                </w:p>
              </w:tc>
              <w:tc>
                <w:tcPr>
                  <w:tcW w:w="697" w:type="dxa"/>
                  <w:tcBorders>
                    <w:left w:val="single" w:color="auto" w:sz="4" w:space="0"/>
                  </w:tcBorders>
                  <w:vAlign w:val="center"/>
                </w:tcPr>
                <w:p w14:paraId="580624C2">
                  <w:pPr>
                    <w:ind w:left="-78" w:leftChars="-37" w:right="-73" w:rightChars="-35"/>
                    <w:jc w:val="center"/>
                    <w:rPr>
                      <w:rFonts w:hint="default"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17</w:t>
                  </w:r>
                </w:p>
              </w:tc>
            </w:tr>
            <w:tr w14:paraId="49DE464B">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83" w:hRule="atLeast"/>
              </w:trPr>
              <w:tc>
                <w:tcPr>
                  <w:tcW w:w="680" w:type="dxa"/>
                  <w:tcBorders>
                    <w:top w:val="single" w:color="auto" w:sz="4" w:space="0"/>
                    <w:bottom w:val="single" w:color="auto" w:sz="4" w:space="0"/>
                  </w:tcBorders>
                  <w:vAlign w:val="center"/>
                </w:tcPr>
                <w:p w14:paraId="37E62153">
                  <w:pPr>
                    <w:pStyle w:val="186"/>
                    <w:numPr>
                      <w:ilvl w:val="0"/>
                      <w:numId w:val="7"/>
                    </w:numPr>
                    <w:ind w:firstLineChars="0"/>
                    <w:jc w:val="right"/>
                    <w:rPr>
                      <w:rFonts w:hint="eastAsia" w:ascii="宋体" w:hAnsi="宋体" w:eastAsia="宋体" w:cs="宋体"/>
                      <w:color w:val="auto"/>
                      <w:sz w:val="21"/>
                      <w:szCs w:val="21"/>
                    </w:rPr>
                  </w:pPr>
                </w:p>
              </w:tc>
              <w:tc>
                <w:tcPr>
                  <w:tcW w:w="1355" w:type="dxa"/>
                  <w:vAlign w:val="center"/>
                </w:tcPr>
                <w:p w14:paraId="09AE3843">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hint="eastAsia" w:ascii="宋体" w:hAnsi="宋体" w:eastAsia="宋体" w:cs="宋体"/>
                      <w:color w:val="auto"/>
                      <w:kern w:val="0"/>
                      <w:sz w:val="21"/>
                      <w:szCs w:val="21"/>
                    </w:rPr>
                  </w:pPr>
                  <w:r>
                    <w:rPr>
                      <w:rFonts w:hint="eastAsia" w:ascii="宋体" w:hAnsi="宋体" w:eastAsia="宋体" w:cs="宋体"/>
                      <w:color w:val="auto"/>
                      <w:sz w:val="21"/>
                      <w:szCs w:val="21"/>
                    </w:rPr>
                    <w:t>质量保障措施及应急方案</w:t>
                  </w:r>
                </w:p>
              </w:tc>
              <w:tc>
                <w:tcPr>
                  <w:tcW w:w="5635" w:type="dxa"/>
                  <w:vAlign w:val="center"/>
                </w:tcPr>
                <w:p w14:paraId="1FAF78BB">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评审标准：投标人针对本项目实际特点及需求，制定相应的质量保障措施，并提供应急突发事件处理应对预案。</w:t>
                  </w:r>
                </w:p>
                <w:p w14:paraId="509A6535">
                  <w:pPr>
                    <w:keepNext w:val="0"/>
                    <w:keepLines w:val="0"/>
                    <w:pageBreakBefore w:val="0"/>
                    <w:widowControl w:val="0"/>
                    <w:kinsoku/>
                    <w:wordWrap w:val="0"/>
                    <w:overflowPunct/>
                    <w:topLinePunct w:val="0"/>
                    <w:autoSpaceDE/>
                    <w:autoSpaceDN/>
                    <w:bidi w:val="0"/>
                    <w:adjustRightInd w:val="0"/>
                    <w:snapToGrid w:val="0"/>
                    <w:ind w:firstLine="0" w:firstLineChars="0"/>
                    <w:textAlignment w:val="auto"/>
                    <w:rPr>
                      <w:rFonts w:hint="eastAsia" w:ascii="宋体" w:hAnsi="宋体" w:eastAsia="宋体" w:cs="宋体"/>
                      <w:szCs w:val="21"/>
                    </w:rPr>
                  </w:pPr>
                  <w:r>
                    <w:rPr>
                      <w:rFonts w:hint="eastAsia" w:ascii="宋体" w:hAnsi="宋体" w:eastAsia="宋体" w:cs="宋体"/>
                      <w:szCs w:val="21"/>
                      <w:lang w:val="en-US" w:eastAsia="zh-CN"/>
                    </w:rPr>
                    <w:t>1、</w:t>
                  </w:r>
                  <w:r>
                    <w:rPr>
                      <w:rFonts w:hint="eastAsia" w:ascii="宋体" w:hAnsi="宋体" w:eastAsia="宋体" w:cs="宋体"/>
                      <w:szCs w:val="21"/>
                    </w:rPr>
                    <w:t>评审委员会根据招标文件的需求和投标文件的内容响应情况进行评分：</w:t>
                  </w:r>
                </w:p>
                <w:p w14:paraId="6C0F90D5">
                  <w:pPr>
                    <w:keepNext w:val="0"/>
                    <w:keepLines w:val="0"/>
                    <w:pageBreakBefore w:val="0"/>
                    <w:widowControl w:val="0"/>
                    <w:kinsoku/>
                    <w:wordWrap w:val="0"/>
                    <w:overflowPunct/>
                    <w:topLinePunct w:val="0"/>
                    <w:autoSpaceDE/>
                    <w:autoSpaceDN/>
                    <w:bidi w:val="0"/>
                    <w:adjustRightInd w:val="0"/>
                    <w:snapToGrid w:val="0"/>
                    <w:ind w:firstLine="0" w:firstLineChars="0"/>
                    <w:textAlignment w:val="auto"/>
                    <w:rPr>
                      <w:rFonts w:hint="eastAsia" w:ascii="宋体" w:hAnsi="宋体" w:eastAsia="宋体" w:cs="宋体"/>
                      <w:szCs w:val="21"/>
                      <w:lang w:eastAsia="zh-CN"/>
                    </w:rPr>
                  </w:pPr>
                  <w:r>
                    <w:rPr>
                      <w:rFonts w:hint="eastAsia" w:ascii="宋体" w:hAnsi="宋体" w:eastAsia="宋体" w:cs="宋体"/>
                      <w:szCs w:val="21"/>
                      <w:lang w:eastAsia="zh-CN"/>
                    </w:rPr>
                    <w:t>（</w:t>
                  </w:r>
                  <w:r>
                    <w:rPr>
                      <w:rFonts w:hint="eastAsia" w:ascii="宋体" w:hAnsi="宋体" w:eastAsia="宋体" w:cs="宋体"/>
                      <w:szCs w:val="21"/>
                      <w:lang w:val="en-US" w:eastAsia="zh-CN"/>
                    </w:rPr>
                    <w:t>1</w:t>
                  </w:r>
                  <w:r>
                    <w:rPr>
                      <w:rFonts w:hint="eastAsia" w:ascii="宋体" w:hAnsi="宋体" w:eastAsia="宋体" w:cs="宋体"/>
                      <w:szCs w:val="21"/>
                      <w:lang w:eastAsia="zh-CN"/>
                    </w:rPr>
                    <w:t>）</w:t>
                  </w:r>
                  <w:r>
                    <w:rPr>
                      <w:rFonts w:hint="eastAsia" w:ascii="宋体" w:hAnsi="宋体" w:eastAsia="宋体" w:cs="宋体"/>
                      <w:szCs w:val="21"/>
                    </w:rPr>
                    <w:t>质量保障措施</w:t>
                  </w:r>
                  <w:r>
                    <w:rPr>
                      <w:rFonts w:hint="eastAsia" w:ascii="宋体" w:hAnsi="宋体" w:eastAsia="宋体" w:cs="宋体"/>
                      <w:szCs w:val="21"/>
                      <w:lang w:eastAsia="zh-CN"/>
                    </w:rPr>
                    <w:t>；</w:t>
                  </w:r>
                </w:p>
                <w:p w14:paraId="5F24CF3D">
                  <w:pPr>
                    <w:keepNext w:val="0"/>
                    <w:keepLines w:val="0"/>
                    <w:pageBreakBefore w:val="0"/>
                    <w:widowControl w:val="0"/>
                    <w:kinsoku/>
                    <w:wordWrap w:val="0"/>
                    <w:overflowPunct/>
                    <w:topLinePunct w:val="0"/>
                    <w:autoSpaceDE/>
                    <w:autoSpaceDN/>
                    <w:bidi w:val="0"/>
                    <w:adjustRightInd w:val="0"/>
                    <w:snapToGrid w:val="0"/>
                    <w:ind w:firstLine="0" w:firstLineChars="0"/>
                    <w:textAlignment w:val="auto"/>
                    <w:rPr>
                      <w:rFonts w:hint="eastAsia" w:ascii="宋体" w:hAnsi="宋体" w:eastAsia="宋体" w:cs="宋体"/>
                      <w:szCs w:val="21"/>
                      <w:lang w:val="en-US" w:eastAsia="zh-CN"/>
                    </w:rPr>
                  </w:pPr>
                  <w:r>
                    <w:rPr>
                      <w:rFonts w:hint="eastAsia" w:ascii="宋体" w:hAnsi="宋体" w:eastAsia="宋体" w:cs="宋体"/>
                      <w:szCs w:val="21"/>
                      <w:lang w:eastAsia="zh-CN"/>
                    </w:rPr>
                    <w:t>（</w:t>
                  </w:r>
                  <w:r>
                    <w:rPr>
                      <w:rFonts w:hint="eastAsia" w:ascii="宋体" w:hAnsi="宋体" w:eastAsia="宋体" w:cs="宋体"/>
                      <w:szCs w:val="21"/>
                      <w:lang w:val="en-US" w:eastAsia="zh-CN"/>
                    </w:rPr>
                    <w:t>2</w:t>
                  </w:r>
                  <w:r>
                    <w:rPr>
                      <w:rFonts w:hint="eastAsia" w:ascii="宋体" w:hAnsi="宋体" w:eastAsia="宋体" w:cs="宋体"/>
                      <w:szCs w:val="21"/>
                      <w:lang w:eastAsia="zh-CN"/>
                    </w:rPr>
                    <w:t>）</w:t>
                  </w:r>
                  <w:r>
                    <w:rPr>
                      <w:rFonts w:hint="eastAsia" w:ascii="宋体" w:hAnsi="宋体" w:eastAsia="宋体" w:cs="宋体"/>
                      <w:szCs w:val="21"/>
                    </w:rPr>
                    <w:t>应急方案</w:t>
                  </w:r>
                  <w:r>
                    <w:rPr>
                      <w:rFonts w:hint="eastAsia" w:ascii="宋体" w:hAnsi="宋体" w:eastAsia="宋体" w:cs="宋体"/>
                      <w:szCs w:val="21"/>
                      <w:lang w:eastAsia="zh-CN"/>
                    </w:rPr>
                    <w:t>；</w:t>
                  </w:r>
                </w:p>
                <w:p w14:paraId="79F05481">
                  <w:pPr>
                    <w:keepNext w:val="0"/>
                    <w:keepLines w:val="0"/>
                    <w:pageBreakBefore w:val="0"/>
                    <w:widowControl w:val="0"/>
                    <w:kinsoku/>
                    <w:wordWrap w:val="0"/>
                    <w:overflowPunct/>
                    <w:topLinePunct w:val="0"/>
                    <w:autoSpaceDE/>
                    <w:autoSpaceDN/>
                    <w:bidi w:val="0"/>
                    <w:adjustRightInd w:val="0"/>
                    <w:snapToGrid w:val="0"/>
                    <w:ind w:firstLine="0" w:firstLineChars="0"/>
                    <w:textAlignment w:val="auto"/>
                    <w:rPr>
                      <w:rFonts w:hint="eastAsia" w:ascii="宋体" w:hAnsi="宋体" w:eastAsia="宋体" w:cs="宋体"/>
                      <w:szCs w:val="21"/>
                    </w:rPr>
                  </w:pPr>
                  <w:r>
                    <w:rPr>
                      <w:rFonts w:hint="eastAsia" w:ascii="宋体" w:hAnsi="宋体" w:eastAsia="宋体" w:cs="宋体"/>
                      <w:szCs w:val="21"/>
                    </w:rPr>
                    <w:t>每体现一点内容加</w:t>
                  </w:r>
                  <w:r>
                    <w:rPr>
                      <w:rFonts w:hint="eastAsia" w:ascii="宋体" w:hAnsi="宋体" w:eastAsia="宋体" w:cs="宋体"/>
                      <w:szCs w:val="21"/>
                      <w:lang w:val="en-US" w:eastAsia="zh-CN"/>
                    </w:rPr>
                    <w:t>3</w:t>
                  </w:r>
                  <w:r>
                    <w:rPr>
                      <w:rFonts w:hint="eastAsia" w:ascii="宋体" w:hAnsi="宋体" w:eastAsia="宋体" w:cs="宋体"/>
                      <w:szCs w:val="21"/>
                    </w:rPr>
                    <w:t>分，最多加</w:t>
                  </w:r>
                  <w:r>
                    <w:rPr>
                      <w:rFonts w:hint="eastAsia" w:ascii="宋体" w:hAnsi="宋体" w:eastAsia="宋体" w:cs="宋体"/>
                      <w:szCs w:val="21"/>
                      <w:lang w:val="en-US" w:eastAsia="zh-CN"/>
                    </w:rPr>
                    <w:t>6</w:t>
                  </w:r>
                  <w:r>
                    <w:rPr>
                      <w:rFonts w:hint="eastAsia" w:ascii="宋体" w:hAnsi="宋体" w:eastAsia="宋体" w:cs="宋体"/>
                      <w:szCs w:val="21"/>
                    </w:rPr>
                    <w:t>分。</w:t>
                  </w:r>
                </w:p>
                <w:p w14:paraId="1754C4CD">
                  <w:pPr>
                    <w:keepNext w:val="0"/>
                    <w:keepLines w:val="0"/>
                    <w:pageBreakBefore w:val="0"/>
                    <w:widowControl w:val="0"/>
                    <w:kinsoku/>
                    <w:wordWrap w:val="0"/>
                    <w:overflowPunct/>
                    <w:topLinePunct w:val="0"/>
                    <w:autoSpaceDE/>
                    <w:autoSpaceDN/>
                    <w:bidi w:val="0"/>
                    <w:adjustRightInd w:val="0"/>
                    <w:snapToGrid w:val="0"/>
                    <w:ind w:firstLine="0" w:firstLineChars="0"/>
                    <w:textAlignment w:val="auto"/>
                    <w:rPr>
                      <w:rFonts w:hint="eastAsia" w:ascii="宋体" w:hAnsi="宋体" w:eastAsia="宋体" w:cs="宋体"/>
                      <w:szCs w:val="21"/>
                    </w:rPr>
                  </w:pPr>
                  <w:r>
                    <w:rPr>
                      <w:rFonts w:hint="eastAsia" w:ascii="宋体" w:hAnsi="宋体" w:eastAsia="宋体" w:cs="宋体"/>
                      <w:szCs w:val="21"/>
                      <w:lang w:val="en-US" w:eastAsia="zh-CN"/>
                    </w:rPr>
                    <w:t>2、</w:t>
                  </w:r>
                  <w:r>
                    <w:rPr>
                      <w:rFonts w:hint="eastAsia" w:ascii="宋体" w:hAnsi="宋体" w:eastAsia="宋体" w:cs="宋体"/>
                      <w:szCs w:val="21"/>
                    </w:rPr>
                    <w:t>在此基础上，评审委员会根据各投标人的具体响应情况按照以下评审标准进一步评审：</w:t>
                  </w:r>
                </w:p>
                <w:p w14:paraId="3A844430">
                  <w:pPr>
                    <w:keepNext w:val="0"/>
                    <w:keepLines w:val="0"/>
                    <w:pageBreakBefore w:val="0"/>
                    <w:widowControl w:val="0"/>
                    <w:kinsoku/>
                    <w:wordWrap w:val="0"/>
                    <w:overflowPunct/>
                    <w:topLinePunct w:val="0"/>
                    <w:autoSpaceDE/>
                    <w:autoSpaceDN/>
                    <w:bidi w:val="0"/>
                    <w:adjustRightInd w:val="0"/>
                    <w:snapToGrid w:val="0"/>
                    <w:ind w:firstLine="0" w:firstLineChars="0"/>
                    <w:textAlignment w:val="auto"/>
                    <w:rPr>
                      <w:rFonts w:hint="eastAsia" w:ascii="宋体" w:hAnsi="宋体" w:eastAsia="宋体" w:cs="宋体"/>
                      <w:szCs w:val="21"/>
                    </w:rPr>
                  </w:pPr>
                  <w:r>
                    <w:rPr>
                      <w:rFonts w:hint="eastAsia" w:ascii="宋体" w:hAnsi="宋体" w:eastAsia="宋体" w:cs="宋体"/>
                      <w:szCs w:val="21"/>
                    </w:rPr>
                    <w:t>评审为优（方案整体科学合理、针对性强、可操作性强、条理非常清晰的）的加</w:t>
                  </w:r>
                  <w:r>
                    <w:rPr>
                      <w:rFonts w:hint="eastAsia" w:ascii="宋体" w:hAnsi="宋体" w:eastAsia="宋体" w:cs="宋体"/>
                      <w:szCs w:val="21"/>
                      <w:highlight w:val="none"/>
                      <w:lang w:val="en-US" w:eastAsia="zh-CN"/>
                    </w:rPr>
                    <w:t>5</w:t>
                  </w:r>
                  <w:r>
                    <w:rPr>
                      <w:rFonts w:hint="eastAsia" w:ascii="宋体" w:hAnsi="宋体" w:eastAsia="宋体" w:cs="宋体"/>
                      <w:szCs w:val="21"/>
                      <w:highlight w:val="none"/>
                    </w:rPr>
                    <w:t>分</w:t>
                  </w:r>
                  <w:r>
                    <w:rPr>
                      <w:rFonts w:hint="eastAsia" w:ascii="宋体" w:hAnsi="宋体" w:eastAsia="宋体" w:cs="宋体"/>
                      <w:szCs w:val="21"/>
                    </w:rPr>
                    <w:t>；</w:t>
                  </w:r>
                </w:p>
                <w:p w14:paraId="0026ED27">
                  <w:pPr>
                    <w:keepNext w:val="0"/>
                    <w:keepLines w:val="0"/>
                    <w:pageBreakBefore w:val="0"/>
                    <w:widowControl w:val="0"/>
                    <w:kinsoku/>
                    <w:wordWrap w:val="0"/>
                    <w:overflowPunct/>
                    <w:topLinePunct w:val="0"/>
                    <w:autoSpaceDE/>
                    <w:autoSpaceDN/>
                    <w:bidi w:val="0"/>
                    <w:adjustRightInd w:val="0"/>
                    <w:snapToGrid w:val="0"/>
                    <w:ind w:firstLine="0" w:firstLineChars="0"/>
                    <w:textAlignment w:val="auto"/>
                    <w:rPr>
                      <w:rFonts w:hint="eastAsia" w:ascii="宋体" w:hAnsi="宋体" w:eastAsia="宋体" w:cs="宋体"/>
                      <w:szCs w:val="21"/>
                    </w:rPr>
                  </w:pPr>
                  <w:r>
                    <w:rPr>
                      <w:rFonts w:hint="eastAsia" w:ascii="宋体" w:hAnsi="宋体" w:eastAsia="宋体" w:cs="宋体"/>
                      <w:szCs w:val="21"/>
                    </w:rPr>
                    <w:t>评审为良（方案整体较比科学合理、有较强针对性、有较强可操作性、比较条理清晰的）的加</w:t>
                  </w:r>
                  <w:r>
                    <w:rPr>
                      <w:rFonts w:hint="eastAsia" w:ascii="宋体" w:hAnsi="宋体" w:eastAsia="宋体" w:cs="宋体"/>
                      <w:szCs w:val="21"/>
                      <w:lang w:val="en-US" w:eastAsia="zh-CN"/>
                    </w:rPr>
                    <w:t>2</w:t>
                  </w:r>
                  <w:r>
                    <w:rPr>
                      <w:rFonts w:hint="eastAsia" w:ascii="宋体" w:hAnsi="宋体" w:eastAsia="宋体" w:cs="宋体"/>
                      <w:szCs w:val="21"/>
                    </w:rPr>
                    <w:t>分；</w:t>
                  </w:r>
                </w:p>
                <w:p w14:paraId="7B6BB78B">
                  <w:pPr>
                    <w:keepNext w:val="0"/>
                    <w:keepLines w:val="0"/>
                    <w:pageBreakBefore w:val="0"/>
                    <w:widowControl w:val="0"/>
                    <w:kinsoku/>
                    <w:wordWrap w:val="0"/>
                    <w:overflowPunct/>
                    <w:topLinePunct w:val="0"/>
                    <w:autoSpaceDE/>
                    <w:autoSpaceDN/>
                    <w:bidi w:val="0"/>
                    <w:adjustRightInd w:val="0"/>
                    <w:snapToGrid w:val="0"/>
                    <w:ind w:firstLine="0" w:firstLineChars="0"/>
                    <w:textAlignment w:val="auto"/>
                    <w:rPr>
                      <w:rFonts w:hint="eastAsia" w:ascii="宋体" w:hAnsi="宋体" w:eastAsia="宋体" w:cs="宋体"/>
                      <w:szCs w:val="21"/>
                    </w:rPr>
                  </w:pPr>
                  <w:r>
                    <w:rPr>
                      <w:rFonts w:hint="eastAsia" w:ascii="宋体" w:hAnsi="宋体" w:eastAsia="宋体" w:cs="宋体"/>
                      <w:szCs w:val="21"/>
                    </w:rPr>
                    <w:t>评审为中（方案整体科学合理性一般、针对性一般、可操作性一般，条理清晰度一般的）的加1分；</w:t>
                  </w:r>
                </w:p>
                <w:p w14:paraId="77A4A3B1">
                  <w:pPr>
                    <w:pStyle w:val="17"/>
                    <w:keepNext w:val="0"/>
                    <w:keepLines w:val="0"/>
                    <w:pageBreakBefore w:val="0"/>
                    <w:widowControl w:val="0"/>
                    <w:kinsoku/>
                    <w:overflowPunct/>
                    <w:topLinePunct w:val="0"/>
                    <w:autoSpaceDE/>
                    <w:autoSpaceDN/>
                    <w:bidi w:val="0"/>
                    <w:adjustRightInd w:val="0"/>
                    <w:snapToGrid w:val="0"/>
                    <w:ind w:firstLine="0" w:firstLineChars="0"/>
                    <w:textAlignment w:val="auto"/>
                    <w:rPr>
                      <w:rFonts w:hint="eastAsia" w:ascii="宋体" w:hAnsi="宋体" w:eastAsia="宋体" w:cs="宋体"/>
                      <w:color w:val="auto"/>
                      <w:sz w:val="21"/>
                      <w:szCs w:val="21"/>
                    </w:rPr>
                  </w:pPr>
                  <w:r>
                    <w:rPr>
                      <w:rFonts w:hint="eastAsia" w:ascii="宋体" w:hAnsi="宋体" w:eastAsia="宋体" w:cs="宋体"/>
                      <w:kern w:val="2"/>
                      <w:sz w:val="21"/>
                      <w:szCs w:val="21"/>
                      <w:lang w:val="en-US" w:eastAsia="zh-CN" w:bidi="ar-SA"/>
                    </w:rPr>
                    <w:t>评审为差（如不满足项目要求的）的不加分。</w:t>
                  </w:r>
                </w:p>
              </w:tc>
              <w:tc>
                <w:tcPr>
                  <w:tcW w:w="780" w:type="dxa"/>
                  <w:tcBorders>
                    <w:right w:val="single" w:color="auto" w:sz="4" w:space="0"/>
                  </w:tcBorders>
                  <w:vAlign w:val="center"/>
                </w:tcPr>
                <w:p w14:paraId="258D4FC9">
                  <w:pPr>
                    <w:jc w:val="center"/>
                    <w:rPr>
                      <w:rFonts w:hint="default" w:ascii="宋体" w:hAnsi="宋体" w:eastAsia="宋体" w:cs="宋体"/>
                      <w:color w:val="auto"/>
                      <w:kern w:val="0"/>
                      <w:sz w:val="21"/>
                      <w:szCs w:val="21"/>
                      <w:lang w:val="en-US" w:eastAsia="zh-CN"/>
                    </w:rPr>
                  </w:pPr>
                  <w:r>
                    <w:rPr>
                      <w:rFonts w:hint="eastAsia" w:ascii="宋体" w:hAnsi="宋体" w:eastAsia="宋体" w:cs="宋体"/>
                      <w:color w:val="auto"/>
                      <w:kern w:val="0"/>
                      <w:sz w:val="21"/>
                      <w:szCs w:val="21"/>
                      <w:lang w:val="en-US" w:eastAsia="zh-CN"/>
                    </w:rPr>
                    <w:t>11</w:t>
                  </w:r>
                </w:p>
              </w:tc>
              <w:tc>
                <w:tcPr>
                  <w:tcW w:w="697" w:type="dxa"/>
                  <w:tcBorders>
                    <w:left w:val="single" w:color="auto" w:sz="4" w:space="0"/>
                  </w:tcBorders>
                  <w:vAlign w:val="center"/>
                </w:tcPr>
                <w:p w14:paraId="57BEE81D">
                  <w:pPr>
                    <w:jc w:val="center"/>
                    <w:rPr>
                      <w:rFonts w:hint="default" w:ascii="宋体" w:hAnsi="宋体" w:eastAsia="宋体" w:cs="宋体"/>
                      <w:color w:val="auto"/>
                      <w:kern w:val="0"/>
                      <w:sz w:val="21"/>
                      <w:szCs w:val="21"/>
                      <w:lang w:val="en-US" w:eastAsia="zh-CN"/>
                    </w:rPr>
                  </w:pPr>
                  <w:r>
                    <w:rPr>
                      <w:rFonts w:hint="eastAsia" w:ascii="宋体" w:hAnsi="宋体" w:eastAsia="宋体" w:cs="宋体"/>
                      <w:color w:val="auto"/>
                      <w:kern w:val="0"/>
                      <w:sz w:val="21"/>
                      <w:szCs w:val="21"/>
                      <w:lang w:val="en-US" w:eastAsia="zh-CN"/>
                    </w:rPr>
                    <w:t>11</w:t>
                  </w:r>
                </w:p>
              </w:tc>
            </w:tr>
            <w:tr w14:paraId="3B5CF031">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83" w:hRule="atLeast"/>
              </w:trPr>
              <w:tc>
                <w:tcPr>
                  <w:tcW w:w="680" w:type="dxa"/>
                  <w:tcBorders>
                    <w:top w:val="single" w:color="auto" w:sz="4" w:space="0"/>
                  </w:tcBorders>
                  <w:vAlign w:val="center"/>
                </w:tcPr>
                <w:p w14:paraId="66B53A90">
                  <w:pPr>
                    <w:pStyle w:val="186"/>
                    <w:numPr>
                      <w:ilvl w:val="0"/>
                      <w:numId w:val="7"/>
                    </w:numPr>
                    <w:ind w:firstLineChars="0"/>
                    <w:jc w:val="right"/>
                    <w:rPr>
                      <w:rFonts w:hint="eastAsia" w:ascii="宋体" w:hAnsi="宋体" w:eastAsia="宋体" w:cs="宋体"/>
                      <w:color w:val="auto"/>
                      <w:sz w:val="21"/>
                      <w:szCs w:val="21"/>
                    </w:rPr>
                  </w:pPr>
                </w:p>
              </w:tc>
              <w:tc>
                <w:tcPr>
                  <w:tcW w:w="1355" w:type="dxa"/>
                  <w:vAlign w:val="center"/>
                </w:tcPr>
                <w:p w14:paraId="31353F99">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违约承诺</w:t>
                  </w:r>
                </w:p>
              </w:tc>
              <w:tc>
                <w:tcPr>
                  <w:tcW w:w="5635" w:type="dxa"/>
                  <w:vAlign w:val="center"/>
                </w:tcPr>
                <w:p w14:paraId="10091CEF">
                  <w:pPr>
                    <w:keepNext w:val="0"/>
                    <w:keepLines w:val="0"/>
                    <w:pageBreakBefore w:val="0"/>
                    <w:widowControl w:val="0"/>
                    <w:kinsoku/>
                    <w:wordWrap/>
                    <w:overflowPunct/>
                    <w:topLinePunct w:val="0"/>
                    <w:autoSpaceDE/>
                    <w:autoSpaceDN/>
                    <w:bidi w:val="0"/>
                    <w:adjustRightInd w:val="0"/>
                    <w:snapToGrid w:val="0"/>
                    <w:spacing w:line="240" w:lineRule="auto"/>
                    <w:jc w:val="left"/>
                    <w:textAlignment w:val="auto"/>
                    <w:rPr>
                      <w:rFonts w:hint="eastAsia" w:ascii="宋体" w:hAnsi="宋体" w:eastAsia="宋体" w:cs="宋体"/>
                      <w:color w:val="auto"/>
                      <w:sz w:val="21"/>
                      <w:szCs w:val="21"/>
                    </w:rPr>
                  </w:pPr>
                  <w:r>
                    <w:rPr>
                      <w:rFonts w:hint="eastAsia" w:ascii="宋体" w:hAnsi="宋体" w:eastAsia="宋体" w:cs="宋体"/>
                      <w:b/>
                      <w:color w:val="auto"/>
                      <w:sz w:val="21"/>
                      <w:szCs w:val="21"/>
                    </w:rPr>
                    <w:t>评审标准：</w:t>
                  </w:r>
                  <w:r>
                    <w:rPr>
                      <w:rFonts w:hint="eastAsia" w:ascii="宋体" w:hAnsi="宋体" w:eastAsia="宋体" w:cs="宋体"/>
                      <w:color w:val="auto"/>
                      <w:sz w:val="21"/>
                      <w:szCs w:val="21"/>
                    </w:rPr>
                    <w:t>投标人针对本项目在实际服务工作中出现的不符合招标文件要求、违反合同约定等情形承诺承担相应违约责任，同时针对本项目服务期满后的管理工作（人员撤离场地、与后续服务公司的过渡交接以及服务期满以后新服务公司到位前仍按原合同提供服务</w:t>
                  </w:r>
                  <w:r>
                    <w:rPr>
                      <w:rFonts w:hint="eastAsia" w:ascii="宋体" w:hAnsi="宋体" w:eastAsia="宋体" w:cs="宋体"/>
                      <w:color w:val="auto"/>
                      <w:sz w:val="21"/>
                      <w:szCs w:val="21"/>
                      <w:lang w:eastAsia="zh-CN"/>
                    </w:rPr>
                    <w:t>（最长不超过</w:t>
                  </w:r>
                  <w:r>
                    <w:rPr>
                      <w:rFonts w:hint="eastAsia" w:ascii="宋体" w:hAnsi="宋体" w:eastAsia="宋体" w:cs="宋体"/>
                      <w:color w:val="auto"/>
                      <w:sz w:val="21"/>
                      <w:szCs w:val="21"/>
                      <w:lang w:val="en-US" w:eastAsia="zh-CN"/>
                    </w:rPr>
                    <w:t>6个月</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等）承诺。</w:t>
                  </w:r>
                </w:p>
                <w:p w14:paraId="32EC564A">
                  <w:pPr>
                    <w:pStyle w:val="17"/>
                    <w:rPr>
                      <w:rFonts w:hint="eastAsia" w:ascii="宋体" w:hAnsi="宋体" w:eastAsia="宋体" w:cs="宋体"/>
                      <w:color w:val="auto"/>
                      <w:kern w:val="2"/>
                      <w:sz w:val="21"/>
                      <w:szCs w:val="21"/>
                      <w:lang w:val="en-US" w:eastAsia="zh-CN" w:bidi="ar-SA"/>
                    </w:rPr>
                  </w:pPr>
                  <w:r>
                    <w:rPr>
                      <w:rFonts w:hint="eastAsia" w:ascii="宋体" w:hAnsi="宋体" w:eastAsia="宋体" w:cs="宋体"/>
                      <w:color w:val="auto"/>
                      <w:kern w:val="2"/>
                      <w:sz w:val="21"/>
                      <w:szCs w:val="21"/>
                      <w:lang w:val="en-US" w:eastAsia="zh-CN" w:bidi="ar-SA"/>
                    </w:rPr>
                    <w:t>1.在实际服务工作中出现的不符合招标文件要求、违反合同约定等情形承诺承担相应违约责任，有提出具体的违约应对措施；</w:t>
                  </w:r>
                </w:p>
                <w:p w14:paraId="0B8C723A">
                  <w:pPr>
                    <w:pStyle w:val="17"/>
                    <w:rPr>
                      <w:rFonts w:hint="eastAsia" w:ascii="宋体" w:hAnsi="宋体" w:eastAsia="宋体" w:cs="宋体"/>
                      <w:color w:val="auto"/>
                      <w:kern w:val="2"/>
                      <w:sz w:val="21"/>
                      <w:szCs w:val="21"/>
                      <w:lang w:val="en-US" w:eastAsia="zh-CN" w:bidi="ar-SA"/>
                    </w:rPr>
                  </w:pPr>
                  <w:r>
                    <w:rPr>
                      <w:rFonts w:hint="eastAsia" w:ascii="宋体" w:hAnsi="宋体" w:eastAsia="宋体" w:cs="宋体"/>
                      <w:color w:val="auto"/>
                      <w:kern w:val="2"/>
                      <w:sz w:val="21"/>
                      <w:szCs w:val="21"/>
                      <w:lang w:val="en-US" w:eastAsia="zh-CN" w:bidi="ar-SA"/>
                    </w:rPr>
                    <w:t>2.服务期满后的人员撤离场地安排；</w:t>
                  </w:r>
                </w:p>
                <w:p w14:paraId="39442085">
                  <w:pPr>
                    <w:pStyle w:val="17"/>
                    <w:rPr>
                      <w:rFonts w:hint="eastAsia" w:ascii="宋体" w:hAnsi="宋体" w:eastAsia="宋体" w:cs="宋体"/>
                      <w:color w:val="auto"/>
                      <w:kern w:val="2"/>
                      <w:sz w:val="21"/>
                      <w:szCs w:val="21"/>
                      <w:lang w:val="en-US" w:eastAsia="zh-CN" w:bidi="ar-SA"/>
                    </w:rPr>
                  </w:pPr>
                  <w:r>
                    <w:rPr>
                      <w:rFonts w:hint="eastAsia" w:ascii="宋体" w:hAnsi="宋体" w:eastAsia="宋体" w:cs="宋体"/>
                      <w:color w:val="auto"/>
                      <w:kern w:val="2"/>
                      <w:sz w:val="21"/>
                      <w:szCs w:val="21"/>
                      <w:lang w:val="en-US" w:eastAsia="zh-CN" w:bidi="ar-SA"/>
                    </w:rPr>
                    <w:t>3.服务期满后与后续服务公司的过渡交接计划；</w:t>
                  </w:r>
                </w:p>
                <w:p w14:paraId="2224D6C6">
                  <w:pPr>
                    <w:pStyle w:val="17"/>
                    <w:rPr>
                      <w:rFonts w:hint="eastAsia" w:ascii="宋体" w:hAnsi="宋体" w:eastAsia="宋体" w:cs="宋体"/>
                      <w:color w:val="auto"/>
                      <w:sz w:val="21"/>
                      <w:szCs w:val="21"/>
                    </w:rPr>
                  </w:pPr>
                  <w:r>
                    <w:rPr>
                      <w:rFonts w:hint="eastAsia" w:ascii="宋体" w:hAnsi="宋体" w:eastAsia="宋体" w:cs="宋体"/>
                      <w:color w:val="auto"/>
                      <w:kern w:val="2"/>
                      <w:sz w:val="21"/>
                      <w:szCs w:val="21"/>
                      <w:lang w:val="en-US" w:eastAsia="zh-CN" w:bidi="ar-SA"/>
                    </w:rPr>
                    <w:t>以上3项全部包括得4分，其他情况不得分。</w:t>
                  </w:r>
                </w:p>
              </w:tc>
              <w:tc>
                <w:tcPr>
                  <w:tcW w:w="780" w:type="dxa"/>
                  <w:tcBorders>
                    <w:right w:val="single" w:color="auto" w:sz="4" w:space="0"/>
                  </w:tcBorders>
                  <w:vAlign w:val="center"/>
                </w:tcPr>
                <w:p w14:paraId="4010EE28">
                  <w:pPr>
                    <w:ind w:left="-78" w:leftChars="-37" w:right="-73" w:rightChars="-35"/>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4</w:t>
                  </w:r>
                </w:p>
              </w:tc>
              <w:tc>
                <w:tcPr>
                  <w:tcW w:w="697" w:type="dxa"/>
                  <w:tcBorders>
                    <w:left w:val="single" w:color="auto" w:sz="4" w:space="0"/>
                  </w:tcBorders>
                  <w:vAlign w:val="center"/>
                </w:tcPr>
                <w:p w14:paraId="12F7ED9D">
                  <w:pPr>
                    <w:ind w:left="-78" w:leftChars="-37" w:right="-73" w:rightChars="-35"/>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4</w:t>
                  </w:r>
                </w:p>
              </w:tc>
            </w:tr>
            <w:tr w14:paraId="6C036742">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87" w:hRule="atLeast"/>
              </w:trPr>
              <w:tc>
                <w:tcPr>
                  <w:tcW w:w="680" w:type="dxa"/>
                  <w:tcBorders>
                    <w:top w:val="single" w:color="auto" w:sz="4" w:space="0"/>
                  </w:tcBorders>
                  <w:vAlign w:val="center"/>
                </w:tcPr>
                <w:p w14:paraId="61ED8F30">
                  <w:pPr>
                    <w:ind w:left="-78" w:leftChars="-37" w:right="-73" w:rightChars="-35"/>
                    <w:jc w:val="center"/>
                    <w:rPr>
                      <w:rFonts w:hint="eastAsia" w:ascii="宋体" w:hAnsi="宋体" w:eastAsia="宋体" w:cs="宋体"/>
                      <w:b/>
                      <w:color w:val="auto"/>
                      <w:sz w:val="21"/>
                      <w:szCs w:val="21"/>
                    </w:rPr>
                  </w:pPr>
                  <w:r>
                    <w:rPr>
                      <w:rFonts w:hint="eastAsia" w:ascii="宋体" w:hAnsi="宋体" w:eastAsia="宋体" w:cs="宋体"/>
                      <w:b/>
                      <w:color w:val="auto"/>
                      <w:sz w:val="21"/>
                      <w:szCs w:val="21"/>
                    </w:rPr>
                    <w:t>二</w:t>
                  </w:r>
                </w:p>
              </w:tc>
              <w:tc>
                <w:tcPr>
                  <w:tcW w:w="8467" w:type="dxa"/>
                  <w:gridSpan w:val="4"/>
                  <w:vAlign w:val="center"/>
                </w:tcPr>
                <w:p w14:paraId="33C30E43">
                  <w:pPr>
                    <w:ind w:left="-78" w:leftChars="-37" w:right="-73" w:rightChars="-35"/>
                    <w:jc w:val="center"/>
                    <w:rPr>
                      <w:rFonts w:hint="eastAsia" w:ascii="宋体" w:hAnsi="宋体" w:eastAsia="宋体" w:cs="宋体"/>
                      <w:b/>
                      <w:color w:val="auto"/>
                      <w:sz w:val="21"/>
                      <w:szCs w:val="21"/>
                    </w:rPr>
                  </w:pPr>
                  <w:r>
                    <w:rPr>
                      <w:rFonts w:hint="eastAsia" w:ascii="宋体" w:hAnsi="宋体" w:eastAsia="宋体" w:cs="宋体"/>
                      <w:b/>
                      <w:color w:val="auto"/>
                      <w:sz w:val="21"/>
                      <w:szCs w:val="21"/>
                    </w:rPr>
                    <w:t>商务部分（</w:t>
                  </w:r>
                  <w:r>
                    <w:rPr>
                      <w:rFonts w:hint="eastAsia" w:ascii="宋体" w:hAnsi="宋体" w:eastAsia="宋体" w:cs="宋体"/>
                      <w:b/>
                      <w:color w:val="auto"/>
                      <w:sz w:val="21"/>
                      <w:szCs w:val="21"/>
                      <w:lang w:val="en-US" w:eastAsia="zh-CN"/>
                    </w:rPr>
                    <w:t>56</w:t>
                  </w:r>
                  <w:r>
                    <w:rPr>
                      <w:rFonts w:hint="eastAsia" w:ascii="宋体" w:hAnsi="宋体" w:eastAsia="宋体" w:cs="宋体"/>
                      <w:b/>
                      <w:color w:val="auto"/>
                      <w:sz w:val="21"/>
                      <w:szCs w:val="21"/>
                    </w:rPr>
                    <w:t>分）</w:t>
                  </w:r>
                </w:p>
              </w:tc>
            </w:tr>
            <w:tr w14:paraId="7A710DBA">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83" w:hRule="atLeast"/>
              </w:trPr>
              <w:tc>
                <w:tcPr>
                  <w:tcW w:w="680" w:type="dxa"/>
                  <w:tcBorders>
                    <w:bottom w:val="single" w:color="auto" w:sz="4" w:space="0"/>
                  </w:tcBorders>
                  <w:vAlign w:val="center"/>
                </w:tcPr>
                <w:p w14:paraId="6118109C">
                  <w:pPr>
                    <w:pStyle w:val="186"/>
                    <w:numPr>
                      <w:ilvl w:val="0"/>
                      <w:numId w:val="8"/>
                    </w:numPr>
                    <w:ind w:firstLineChars="0"/>
                    <w:jc w:val="center"/>
                    <w:rPr>
                      <w:rFonts w:hint="eastAsia" w:ascii="宋体" w:hAnsi="宋体" w:eastAsia="宋体" w:cs="宋体"/>
                      <w:color w:val="auto"/>
                      <w:sz w:val="21"/>
                      <w:szCs w:val="21"/>
                    </w:rPr>
                  </w:pPr>
                </w:p>
              </w:tc>
              <w:tc>
                <w:tcPr>
                  <w:tcW w:w="1355" w:type="dxa"/>
                  <w:vAlign w:val="center"/>
                </w:tcPr>
                <w:p w14:paraId="4E66C7A5">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拟派项目经理</w:t>
                  </w:r>
                  <w:r>
                    <w:rPr>
                      <w:rFonts w:hint="eastAsia" w:ascii="宋体" w:hAnsi="宋体" w:cs="宋体"/>
                      <w:color w:val="auto"/>
                      <w:sz w:val="21"/>
                      <w:szCs w:val="21"/>
                      <w:lang w:eastAsia="zh-CN"/>
                    </w:rPr>
                    <w:t>（</w:t>
                  </w:r>
                  <w:r>
                    <w:rPr>
                      <w:rFonts w:hint="eastAsia" w:ascii="宋体" w:hAnsi="宋体" w:cs="宋体"/>
                      <w:color w:val="auto"/>
                      <w:sz w:val="21"/>
                      <w:szCs w:val="21"/>
                      <w:lang w:val="en-US" w:eastAsia="zh-CN"/>
                    </w:rPr>
                    <w:t>仅限1人</w:t>
                  </w:r>
                  <w:r>
                    <w:rPr>
                      <w:rFonts w:hint="eastAsia" w:ascii="宋体" w:hAnsi="宋体" w:cs="宋体"/>
                      <w:color w:val="auto"/>
                      <w:sz w:val="21"/>
                      <w:szCs w:val="21"/>
                      <w:lang w:eastAsia="zh-CN"/>
                    </w:rPr>
                    <w:t>）</w:t>
                  </w:r>
                  <w:r>
                    <w:rPr>
                      <w:rFonts w:hint="eastAsia" w:ascii="宋体" w:hAnsi="宋体" w:eastAsia="宋体" w:cs="宋体"/>
                      <w:color w:val="auto"/>
                      <w:sz w:val="21"/>
                      <w:szCs w:val="21"/>
                    </w:rPr>
                    <w:t>评价</w:t>
                  </w:r>
                </w:p>
              </w:tc>
              <w:tc>
                <w:tcPr>
                  <w:tcW w:w="5635" w:type="dxa"/>
                  <w:vAlign w:val="center"/>
                </w:tcPr>
                <w:p w14:paraId="35C74799">
                  <w:pPr>
                    <w:keepNext w:val="0"/>
                    <w:keepLines w:val="0"/>
                    <w:pageBreakBefore w:val="0"/>
                    <w:widowControl w:val="0"/>
                    <w:kinsoku/>
                    <w:wordWrap/>
                    <w:overflowPunct/>
                    <w:topLinePunct w:val="0"/>
                    <w:autoSpaceDE/>
                    <w:autoSpaceDN/>
                    <w:bidi w:val="0"/>
                    <w:adjustRightInd w:val="0"/>
                    <w:snapToGrid w:val="0"/>
                    <w:spacing w:line="240" w:lineRule="auto"/>
                    <w:jc w:val="left"/>
                    <w:textAlignment w:val="auto"/>
                    <w:rPr>
                      <w:rFonts w:hint="eastAsia" w:ascii="宋体" w:hAnsi="宋体" w:eastAsia="宋体" w:cs="宋体"/>
                      <w:color w:val="auto"/>
                      <w:sz w:val="21"/>
                      <w:szCs w:val="21"/>
                    </w:rPr>
                  </w:pPr>
                  <w:r>
                    <w:rPr>
                      <w:rFonts w:hint="eastAsia" w:ascii="宋体" w:hAnsi="宋体" w:eastAsia="宋体" w:cs="宋体"/>
                      <w:b/>
                      <w:color w:val="auto"/>
                      <w:sz w:val="21"/>
                      <w:szCs w:val="21"/>
                    </w:rPr>
                    <w:t>评审标准：</w:t>
                  </w:r>
                  <w:r>
                    <w:rPr>
                      <w:rFonts w:hint="eastAsia" w:ascii="宋体" w:hAnsi="宋体" w:eastAsia="宋体" w:cs="宋体"/>
                      <w:color w:val="auto"/>
                      <w:sz w:val="21"/>
                      <w:szCs w:val="21"/>
                    </w:rPr>
                    <w:t>拟派本项目项目经理具有：①具备</w:t>
                  </w:r>
                  <w:r>
                    <w:rPr>
                      <w:rFonts w:hint="eastAsia" w:ascii="宋体" w:hAnsi="宋体" w:eastAsia="宋体" w:cs="宋体"/>
                      <w:color w:val="auto"/>
                      <w:sz w:val="21"/>
                      <w:szCs w:val="21"/>
                      <w:lang w:eastAsia="zh-CN"/>
                    </w:rPr>
                    <w:t>一</w:t>
                  </w:r>
                  <w:r>
                    <w:rPr>
                      <w:rFonts w:hint="eastAsia" w:ascii="宋体" w:hAnsi="宋体" w:eastAsia="宋体" w:cs="宋体"/>
                      <w:color w:val="auto"/>
                      <w:sz w:val="21"/>
                      <w:szCs w:val="21"/>
                    </w:rPr>
                    <w:t>年医院陪护管理工作经验得</w:t>
                  </w: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rPr>
                    <w:t>分</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具备</w:t>
                  </w:r>
                  <w:r>
                    <w:rPr>
                      <w:rFonts w:hint="eastAsia" w:ascii="宋体" w:hAnsi="宋体" w:eastAsia="宋体" w:cs="宋体"/>
                      <w:color w:val="auto"/>
                      <w:sz w:val="21"/>
                      <w:szCs w:val="21"/>
                      <w:highlight w:val="none"/>
                      <w:lang w:eastAsia="zh-CN"/>
                    </w:rPr>
                    <w:t>两</w:t>
                  </w:r>
                  <w:r>
                    <w:rPr>
                      <w:rFonts w:hint="eastAsia" w:ascii="宋体" w:hAnsi="宋体" w:eastAsia="宋体" w:cs="宋体"/>
                      <w:color w:val="auto"/>
                      <w:sz w:val="21"/>
                      <w:szCs w:val="21"/>
                      <w:highlight w:val="none"/>
                    </w:rPr>
                    <w:t>年或以上医院陪护管理工作经验得</w:t>
                  </w:r>
                  <w:r>
                    <w:rPr>
                      <w:rFonts w:hint="eastAsia" w:ascii="宋体" w:hAnsi="宋体" w:eastAsia="宋体" w:cs="宋体"/>
                      <w:color w:val="auto"/>
                      <w:sz w:val="21"/>
                      <w:szCs w:val="21"/>
                      <w:highlight w:val="none"/>
                      <w:lang w:val="en-US" w:eastAsia="zh-CN"/>
                    </w:rPr>
                    <w:t>5</w:t>
                  </w:r>
                  <w:r>
                    <w:rPr>
                      <w:rFonts w:hint="eastAsia" w:ascii="宋体" w:hAnsi="宋体" w:eastAsia="宋体" w:cs="宋体"/>
                      <w:color w:val="auto"/>
                      <w:sz w:val="21"/>
                      <w:szCs w:val="21"/>
                      <w:highlight w:val="none"/>
                    </w:rPr>
                    <w:t>分；</w:t>
                  </w:r>
                  <w:r>
                    <w:rPr>
                      <w:rFonts w:hint="eastAsia" w:ascii="宋体" w:hAnsi="宋体" w:eastAsia="宋体" w:cs="宋体"/>
                      <w:color w:val="auto"/>
                      <w:sz w:val="21"/>
                      <w:szCs w:val="21"/>
                    </w:rPr>
                    <w:t>②具有中级或以上</w:t>
                  </w:r>
                  <w:bookmarkStart w:id="110" w:name="_GoBack"/>
                  <w:bookmarkEnd w:id="110"/>
                  <w:r>
                    <w:rPr>
                      <w:rFonts w:hint="eastAsia" w:ascii="宋体" w:hAnsi="宋体" w:eastAsia="宋体" w:cs="宋体"/>
                      <w:color w:val="auto"/>
                      <w:sz w:val="21"/>
                      <w:szCs w:val="21"/>
                    </w:rPr>
                    <w:t>护理职称证书得</w:t>
                  </w:r>
                  <w:r>
                    <w:rPr>
                      <w:rFonts w:hint="eastAsia" w:ascii="宋体" w:hAnsi="宋体" w:eastAsia="宋体" w:cs="宋体"/>
                      <w:color w:val="auto"/>
                      <w:sz w:val="21"/>
                      <w:szCs w:val="21"/>
                      <w:lang w:val="en-US" w:eastAsia="zh-CN"/>
                    </w:rPr>
                    <w:t>5</w:t>
                  </w:r>
                  <w:r>
                    <w:rPr>
                      <w:rFonts w:hint="eastAsia" w:ascii="宋体" w:hAnsi="宋体" w:eastAsia="宋体" w:cs="宋体"/>
                      <w:color w:val="auto"/>
                      <w:sz w:val="21"/>
                      <w:szCs w:val="21"/>
                    </w:rPr>
                    <w:t>分。</w:t>
                  </w:r>
                </w:p>
                <w:p w14:paraId="30E5E200">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ind w:leftChars="0"/>
                    <w:jc w:val="left"/>
                    <w:textAlignment w:val="auto"/>
                    <w:rPr>
                      <w:rFonts w:hint="eastAsia" w:ascii="宋体" w:hAnsi="宋体" w:eastAsia="宋体" w:cs="宋体"/>
                      <w:b/>
                      <w:color w:val="auto"/>
                      <w:sz w:val="21"/>
                      <w:szCs w:val="21"/>
                    </w:rPr>
                  </w:pPr>
                  <w:r>
                    <w:rPr>
                      <w:rFonts w:hint="eastAsia" w:ascii="宋体" w:hAnsi="宋体" w:eastAsia="宋体" w:cs="宋体"/>
                      <w:b/>
                      <w:color w:val="auto"/>
                      <w:sz w:val="21"/>
                      <w:szCs w:val="21"/>
                    </w:rPr>
                    <w:t>证明文件：</w:t>
                  </w:r>
                  <w:r>
                    <w:rPr>
                      <w:rFonts w:hint="eastAsia" w:ascii="宋体" w:hAnsi="宋体" w:eastAsia="宋体" w:cs="宋体"/>
                      <w:color w:val="auto"/>
                      <w:sz w:val="21"/>
                      <w:szCs w:val="21"/>
                    </w:rPr>
                    <w:t>投标人须提供相关证书复印件、工作经验证明文件，同时提供投标人为以上人员缴交的</w:t>
                  </w:r>
                  <w:r>
                    <w:rPr>
                      <w:rFonts w:hint="eastAsia" w:ascii="宋体" w:hAnsi="宋体" w:eastAsia="宋体" w:cs="宋体"/>
                      <w:color w:val="auto"/>
                      <w:sz w:val="21"/>
                      <w:szCs w:val="21"/>
                      <w:lang w:val="en-US" w:eastAsia="zh-CN"/>
                    </w:rPr>
                    <w:t>近三个月社保（以养老保险为准）证明材料复印件</w:t>
                  </w:r>
                  <w:r>
                    <w:rPr>
                      <w:rFonts w:hint="eastAsia" w:ascii="宋体" w:hAnsi="宋体" w:eastAsia="宋体" w:cs="宋体"/>
                      <w:color w:val="auto"/>
                      <w:sz w:val="21"/>
                      <w:szCs w:val="21"/>
                    </w:rPr>
                    <w:t>（如开标日上一个月的社保材料因社保部门</w:t>
                  </w:r>
                  <w:r>
                    <w:rPr>
                      <w:rFonts w:hint="eastAsia" w:ascii="宋体" w:hAnsi="宋体" w:eastAsia="宋体" w:cs="宋体"/>
                      <w:color w:val="auto"/>
                      <w:sz w:val="21"/>
                      <w:szCs w:val="21"/>
                      <w:lang w:val="en-US" w:eastAsia="zh-CN"/>
                    </w:rPr>
                    <w:t>或税务部门</w:t>
                  </w:r>
                  <w:r>
                    <w:rPr>
                      <w:rFonts w:hint="eastAsia" w:ascii="宋体" w:hAnsi="宋体" w:eastAsia="宋体" w:cs="宋体"/>
                      <w:color w:val="auto"/>
                      <w:sz w:val="21"/>
                      <w:szCs w:val="21"/>
                    </w:rPr>
                    <w:t>原因暂时无法取得，则可以往前顺延一个月</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如投标人为新成立企业且成立时间不足三个月可提供加盖公章的情况说明或者证明材料亦视为符合。），未按要求提供或提供不清晰导致专家无法判断的不得分。</w:t>
                  </w:r>
                </w:p>
              </w:tc>
              <w:tc>
                <w:tcPr>
                  <w:tcW w:w="780" w:type="dxa"/>
                  <w:tcBorders>
                    <w:right w:val="single" w:color="auto" w:sz="4" w:space="0"/>
                  </w:tcBorders>
                  <w:vAlign w:val="center"/>
                </w:tcPr>
                <w:p w14:paraId="5DCEA888">
                  <w:pPr>
                    <w:ind w:left="-78" w:leftChars="-37" w:right="-73" w:rightChars="-35"/>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10</w:t>
                  </w:r>
                </w:p>
              </w:tc>
              <w:tc>
                <w:tcPr>
                  <w:tcW w:w="697" w:type="dxa"/>
                  <w:tcBorders>
                    <w:left w:val="single" w:color="auto" w:sz="4" w:space="0"/>
                  </w:tcBorders>
                  <w:vAlign w:val="center"/>
                </w:tcPr>
                <w:p w14:paraId="387FBDCC">
                  <w:pPr>
                    <w:ind w:left="-78" w:leftChars="-37" w:right="-73" w:rightChars="-35"/>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10</w:t>
                  </w:r>
                </w:p>
              </w:tc>
            </w:tr>
            <w:tr w14:paraId="3BC31C5F">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83" w:hRule="atLeast"/>
              </w:trPr>
              <w:tc>
                <w:tcPr>
                  <w:tcW w:w="680" w:type="dxa"/>
                  <w:tcBorders>
                    <w:bottom w:val="single" w:color="auto" w:sz="4" w:space="0"/>
                  </w:tcBorders>
                  <w:vAlign w:val="center"/>
                </w:tcPr>
                <w:p w14:paraId="05DB1091">
                  <w:pPr>
                    <w:pStyle w:val="186"/>
                    <w:numPr>
                      <w:ilvl w:val="0"/>
                      <w:numId w:val="8"/>
                    </w:numPr>
                    <w:ind w:firstLineChars="0"/>
                    <w:jc w:val="center"/>
                    <w:rPr>
                      <w:rFonts w:hint="eastAsia" w:ascii="宋体" w:hAnsi="宋体" w:eastAsia="宋体" w:cs="宋体"/>
                      <w:color w:val="auto"/>
                      <w:sz w:val="21"/>
                      <w:szCs w:val="21"/>
                    </w:rPr>
                  </w:pPr>
                </w:p>
              </w:tc>
              <w:tc>
                <w:tcPr>
                  <w:tcW w:w="1355" w:type="dxa"/>
                  <w:vAlign w:val="center"/>
                </w:tcPr>
                <w:p w14:paraId="383ED4B2">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拟派本项目的服务人员及素质要求</w:t>
                  </w:r>
                </w:p>
              </w:tc>
              <w:tc>
                <w:tcPr>
                  <w:tcW w:w="5635" w:type="dxa"/>
                  <w:vAlign w:val="center"/>
                </w:tcPr>
                <w:p w14:paraId="2EB2D4CD">
                  <w:pPr>
                    <w:keepNext w:val="0"/>
                    <w:keepLines w:val="0"/>
                    <w:pageBreakBefore w:val="0"/>
                    <w:widowControl w:val="0"/>
                    <w:kinsoku/>
                    <w:wordWrap/>
                    <w:overflowPunct/>
                    <w:topLinePunct w:val="0"/>
                    <w:autoSpaceDE/>
                    <w:autoSpaceDN/>
                    <w:bidi w:val="0"/>
                    <w:adjustRightInd w:val="0"/>
                    <w:snapToGrid w:val="0"/>
                    <w:spacing w:line="240" w:lineRule="auto"/>
                    <w:jc w:val="left"/>
                    <w:textAlignment w:val="auto"/>
                    <w:rPr>
                      <w:rFonts w:hint="eastAsia" w:ascii="宋体" w:hAnsi="宋体" w:eastAsia="宋体" w:cs="宋体"/>
                      <w:color w:val="auto"/>
                      <w:sz w:val="21"/>
                      <w:szCs w:val="21"/>
                      <w:highlight w:val="none"/>
                    </w:rPr>
                  </w:pPr>
                  <w:r>
                    <w:rPr>
                      <w:rFonts w:hint="eastAsia" w:ascii="宋体" w:hAnsi="宋体" w:eastAsia="宋体" w:cs="宋体"/>
                      <w:b/>
                      <w:color w:val="auto"/>
                      <w:sz w:val="21"/>
                      <w:szCs w:val="21"/>
                    </w:rPr>
                    <w:t>评审标准：</w:t>
                  </w:r>
                  <w:r>
                    <w:rPr>
                      <w:rFonts w:hint="eastAsia" w:ascii="宋体" w:hAnsi="宋体" w:eastAsia="宋体" w:cs="宋体"/>
                      <w:color w:val="auto"/>
                      <w:sz w:val="21"/>
                      <w:szCs w:val="21"/>
                    </w:rPr>
                    <w:t>拟派项目服务人员具有初中</w:t>
                  </w:r>
                  <w:r>
                    <w:rPr>
                      <w:rFonts w:hint="eastAsia" w:ascii="宋体" w:hAnsi="宋体" w:cs="宋体"/>
                      <w:color w:val="auto"/>
                      <w:sz w:val="21"/>
                      <w:szCs w:val="21"/>
                      <w:lang w:eastAsia="zh-CN"/>
                    </w:rPr>
                    <w:t>或</w:t>
                  </w:r>
                  <w:r>
                    <w:rPr>
                      <w:rFonts w:hint="eastAsia" w:ascii="宋体" w:hAnsi="宋体" w:eastAsia="宋体" w:cs="宋体"/>
                      <w:color w:val="auto"/>
                      <w:sz w:val="21"/>
                      <w:szCs w:val="21"/>
                    </w:rPr>
                    <w:t>以上学历、</w:t>
                  </w:r>
                  <w:r>
                    <w:rPr>
                      <w:rFonts w:hint="eastAsia" w:ascii="宋体" w:hAnsi="宋体"/>
                      <w:szCs w:val="21"/>
                    </w:rPr>
                    <w:t>年龄在</w:t>
                  </w:r>
                  <w:r>
                    <w:rPr>
                      <w:rFonts w:hint="eastAsia" w:ascii="宋体" w:hAnsi="宋体"/>
                      <w:szCs w:val="21"/>
                      <w:lang w:val="en-US" w:eastAsia="zh-CN"/>
                    </w:rPr>
                    <w:t>18-58岁</w:t>
                  </w:r>
                  <w:r>
                    <w:rPr>
                      <w:rFonts w:hint="eastAsia" w:ascii="宋体" w:hAnsi="宋体" w:eastAsia="宋体" w:cs="宋体"/>
                      <w:color w:val="auto"/>
                      <w:sz w:val="21"/>
                      <w:szCs w:val="21"/>
                    </w:rPr>
                    <w:t>，且具有医院陪护工工作经验的，</w:t>
                  </w:r>
                  <w:r>
                    <w:rPr>
                      <w:rFonts w:hint="eastAsia" w:ascii="宋体" w:hAnsi="宋体" w:eastAsia="宋体" w:cs="宋体"/>
                      <w:color w:val="auto"/>
                      <w:sz w:val="21"/>
                      <w:szCs w:val="21"/>
                      <w:highlight w:val="none"/>
                      <w:lang w:eastAsia="zh-CN"/>
                    </w:rPr>
                    <w:t>取得</w:t>
                  </w:r>
                  <w:r>
                    <w:rPr>
                      <w:rFonts w:hint="eastAsia" w:ascii="宋体" w:hAnsi="宋体" w:cs="宋体"/>
                      <w:color w:val="auto"/>
                      <w:sz w:val="21"/>
                      <w:szCs w:val="21"/>
                      <w:highlight w:val="none"/>
                      <w:lang w:eastAsia="zh-CN"/>
                    </w:rPr>
                    <w:t>人社部门备案的职业技能鉴定机构或卫健部门或医学学会颁发的</w:t>
                  </w:r>
                  <w:r>
                    <w:rPr>
                      <w:rFonts w:hint="eastAsia" w:ascii="宋体" w:hAnsi="宋体" w:eastAsia="宋体" w:cs="宋体"/>
                      <w:color w:val="auto"/>
                      <w:sz w:val="21"/>
                      <w:szCs w:val="21"/>
                      <w:highlight w:val="none"/>
                      <w:lang w:eastAsia="zh-CN"/>
                    </w:rPr>
                    <w:t>医疗护理员证书</w:t>
                  </w:r>
                  <w:r>
                    <w:rPr>
                      <w:rFonts w:hint="eastAsia" w:ascii="宋体" w:hAnsi="宋体" w:cs="宋体"/>
                      <w:color w:val="auto"/>
                      <w:sz w:val="21"/>
                      <w:szCs w:val="21"/>
                      <w:highlight w:val="none"/>
                      <w:lang w:eastAsia="zh-CN"/>
                    </w:rPr>
                    <w:t>，</w:t>
                  </w:r>
                  <w:r>
                    <w:rPr>
                      <w:rFonts w:hint="eastAsia" w:ascii="宋体" w:hAnsi="宋体" w:eastAsia="宋体" w:cs="宋体"/>
                      <w:color w:val="auto"/>
                      <w:sz w:val="21"/>
                      <w:szCs w:val="21"/>
                      <w:highlight w:val="none"/>
                    </w:rPr>
                    <w:t>每提供一名人员得1分，最高得</w:t>
                  </w:r>
                  <w:r>
                    <w:rPr>
                      <w:rFonts w:hint="eastAsia" w:ascii="宋体" w:hAnsi="宋体" w:eastAsia="宋体" w:cs="宋体"/>
                      <w:color w:val="auto"/>
                      <w:sz w:val="21"/>
                      <w:szCs w:val="21"/>
                      <w:highlight w:val="none"/>
                      <w:lang w:val="en-US" w:eastAsia="zh-CN"/>
                    </w:rPr>
                    <w:t>15</w:t>
                  </w:r>
                  <w:r>
                    <w:rPr>
                      <w:rFonts w:hint="eastAsia" w:ascii="宋体" w:hAnsi="宋体" w:eastAsia="宋体" w:cs="宋体"/>
                      <w:color w:val="auto"/>
                      <w:sz w:val="21"/>
                      <w:szCs w:val="21"/>
                      <w:highlight w:val="none"/>
                    </w:rPr>
                    <w:t>分。</w:t>
                  </w:r>
                </w:p>
                <w:p w14:paraId="4AAAFB2F">
                  <w:pPr>
                    <w:keepNext w:val="0"/>
                    <w:keepLines w:val="0"/>
                    <w:pageBreakBefore w:val="0"/>
                    <w:widowControl w:val="0"/>
                    <w:kinsoku/>
                    <w:wordWrap/>
                    <w:overflowPunct/>
                    <w:topLinePunct w:val="0"/>
                    <w:autoSpaceDE/>
                    <w:autoSpaceDN/>
                    <w:bidi w:val="0"/>
                    <w:adjustRightInd w:val="0"/>
                    <w:snapToGrid w:val="0"/>
                    <w:spacing w:line="240" w:lineRule="auto"/>
                    <w:jc w:val="left"/>
                    <w:textAlignment w:val="auto"/>
                    <w:rPr>
                      <w:rFonts w:hint="eastAsia" w:ascii="宋体" w:hAnsi="宋体" w:eastAsia="宋体" w:cs="宋体"/>
                      <w:color w:val="auto"/>
                      <w:sz w:val="21"/>
                      <w:szCs w:val="21"/>
                      <w:lang w:eastAsia="zh-CN"/>
                    </w:rPr>
                  </w:pPr>
                  <w:r>
                    <w:rPr>
                      <w:rFonts w:hint="eastAsia" w:ascii="宋体" w:hAnsi="宋体" w:eastAsia="宋体" w:cs="宋体"/>
                      <w:b/>
                      <w:color w:val="auto"/>
                      <w:sz w:val="21"/>
                      <w:szCs w:val="21"/>
                    </w:rPr>
                    <w:t>证明文件：</w:t>
                  </w:r>
                  <w:r>
                    <w:rPr>
                      <w:rFonts w:hint="eastAsia" w:ascii="宋体" w:hAnsi="宋体" w:eastAsia="宋体" w:cs="宋体"/>
                      <w:color w:val="auto"/>
                      <w:sz w:val="21"/>
                      <w:szCs w:val="21"/>
                    </w:rPr>
                    <w:t>投标人须提供学历证书、身份证复印件、工作经验证明文件，同时提供投标人为以上人员缴交的</w:t>
                  </w:r>
                  <w:r>
                    <w:rPr>
                      <w:rFonts w:hint="eastAsia" w:ascii="宋体" w:hAnsi="宋体" w:eastAsia="宋体" w:cs="宋体"/>
                      <w:color w:val="auto"/>
                      <w:sz w:val="21"/>
                      <w:szCs w:val="21"/>
                      <w:lang w:val="en-US" w:eastAsia="zh-CN"/>
                    </w:rPr>
                    <w:t>近三个月社保（以养老保险为准）证明材料复印件</w:t>
                  </w:r>
                  <w:r>
                    <w:rPr>
                      <w:rFonts w:hint="eastAsia" w:ascii="宋体" w:hAnsi="宋体" w:eastAsia="宋体" w:cs="宋体"/>
                      <w:color w:val="auto"/>
                      <w:sz w:val="21"/>
                      <w:szCs w:val="21"/>
                    </w:rPr>
                    <w:t>（如开标日上一个月的社保材料因社保部门</w:t>
                  </w:r>
                  <w:r>
                    <w:rPr>
                      <w:rFonts w:hint="eastAsia" w:ascii="宋体" w:hAnsi="宋体" w:eastAsia="宋体" w:cs="宋体"/>
                      <w:color w:val="auto"/>
                      <w:sz w:val="21"/>
                      <w:szCs w:val="21"/>
                      <w:lang w:val="en-US" w:eastAsia="zh-CN"/>
                    </w:rPr>
                    <w:t>或税务部门</w:t>
                  </w:r>
                  <w:r>
                    <w:rPr>
                      <w:rFonts w:hint="eastAsia" w:ascii="宋体" w:hAnsi="宋体" w:eastAsia="宋体" w:cs="宋体"/>
                      <w:color w:val="auto"/>
                      <w:sz w:val="21"/>
                      <w:szCs w:val="21"/>
                    </w:rPr>
                    <w:t>原因暂时无法取得，则可以往前顺延一个月</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如投标人为新成立企业且成立时间不足三个月可提供加盖公章的情况说明或者证明材料亦视为符合。）</w:t>
                  </w:r>
                  <w:r>
                    <w:rPr>
                      <w:rFonts w:hint="eastAsia" w:ascii="宋体" w:hAnsi="宋体" w:eastAsia="宋体" w:cs="宋体"/>
                      <w:color w:val="auto"/>
                      <w:sz w:val="21"/>
                      <w:szCs w:val="21"/>
                      <w:lang w:eastAsia="zh-CN"/>
                    </w:rPr>
                    <w:t>。</w:t>
                  </w:r>
                </w:p>
                <w:p w14:paraId="3A392CB5">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ind w:leftChars="0"/>
                    <w:jc w:val="left"/>
                    <w:textAlignment w:val="auto"/>
                    <w:rPr>
                      <w:rFonts w:hint="eastAsia" w:ascii="宋体" w:hAnsi="宋体" w:eastAsia="宋体" w:cs="宋体"/>
                      <w:b/>
                      <w:color w:val="auto"/>
                      <w:sz w:val="21"/>
                      <w:szCs w:val="21"/>
                    </w:rPr>
                  </w:pPr>
                  <w:r>
                    <w:rPr>
                      <w:rFonts w:hint="eastAsia" w:ascii="宋体" w:hAnsi="宋体" w:eastAsia="宋体" w:cs="宋体"/>
                      <w:color w:val="auto"/>
                      <w:sz w:val="21"/>
                      <w:szCs w:val="21"/>
                      <w:lang w:val="en-US" w:eastAsia="zh-CN"/>
                    </w:rPr>
                    <w:t>以上材料要求提供复印件</w:t>
                  </w:r>
                  <w:r>
                    <w:rPr>
                      <w:rFonts w:hint="eastAsia" w:ascii="宋体" w:hAnsi="宋体" w:eastAsia="宋体" w:cs="宋体"/>
                      <w:color w:val="auto"/>
                      <w:sz w:val="21"/>
                      <w:szCs w:val="21"/>
                    </w:rPr>
                    <w:t>，未按要求提供或提供不清晰导致专家无法判断的不得分。</w:t>
                  </w:r>
                </w:p>
              </w:tc>
              <w:tc>
                <w:tcPr>
                  <w:tcW w:w="780" w:type="dxa"/>
                  <w:tcBorders>
                    <w:right w:val="single" w:color="auto" w:sz="4" w:space="0"/>
                  </w:tcBorders>
                  <w:vAlign w:val="center"/>
                </w:tcPr>
                <w:p w14:paraId="4865E421">
                  <w:pPr>
                    <w:ind w:left="-78" w:leftChars="-37" w:right="-73" w:rightChars="-35"/>
                    <w:jc w:val="center"/>
                    <w:rPr>
                      <w:rFonts w:hint="default"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15</w:t>
                  </w:r>
                </w:p>
              </w:tc>
              <w:tc>
                <w:tcPr>
                  <w:tcW w:w="697" w:type="dxa"/>
                  <w:tcBorders>
                    <w:left w:val="single" w:color="auto" w:sz="4" w:space="0"/>
                  </w:tcBorders>
                  <w:vAlign w:val="center"/>
                </w:tcPr>
                <w:p w14:paraId="626B619E">
                  <w:pPr>
                    <w:ind w:left="-78" w:leftChars="-37" w:right="-73" w:rightChars="-35"/>
                    <w:jc w:val="center"/>
                    <w:rPr>
                      <w:rFonts w:hint="default"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15</w:t>
                  </w:r>
                </w:p>
              </w:tc>
            </w:tr>
            <w:tr w14:paraId="3C75A2EF">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83" w:hRule="atLeast"/>
              </w:trPr>
              <w:tc>
                <w:tcPr>
                  <w:tcW w:w="680" w:type="dxa"/>
                  <w:tcBorders>
                    <w:bottom w:val="single" w:color="auto" w:sz="4" w:space="0"/>
                  </w:tcBorders>
                  <w:vAlign w:val="center"/>
                </w:tcPr>
                <w:p w14:paraId="0A17A10C">
                  <w:pPr>
                    <w:pStyle w:val="186"/>
                    <w:numPr>
                      <w:ilvl w:val="0"/>
                      <w:numId w:val="8"/>
                    </w:numPr>
                    <w:ind w:firstLineChars="0"/>
                    <w:jc w:val="center"/>
                    <w:rPr>
                      <w:rFonts w:hint="eastAsia" w:ascii="宋体" w:hAnsi="宋体" w:eastAsia="宋体" w:cs="宋体"/>
                      <w:color w:val="auto"/>
                      <w:sz w:val="21"/>
                      <w:szCs w:val="21"/>
                    </w:rPr>
                  </w:pPr>
                </w:p>
              </w:tc>
              <w:tc>
                <w:tcPr>
                  <w:tcW w:w="1355" w:type="dxa"/>
                  <w:vAlign w:val="center"/>
                </w:tcPr>
                <w:p w14:paraId="1661CCA8">
                  <w:pPr>
                    <w:jc w:val="center"/>
                    <w:rPr>
                      <w:rFonts w:hint="eastAsia" w:ascii="宋体" w:hAnsi="宋体" w:eastAsia="宋体" w:cs="宋体"/>
                      <w:color w:val="auto"/>
                      <w:sz w:val="21"/>
                      <w:szCs w:val="21"/>
                    </w:rPr>
                  </w:pPr>
                  <w:r>
                    <w:rPr>
                      <w:rFonts w:hint="eastAsia" w:ascii="宋体" w:hAnsi="宋体" w:eastAsia="宋体" w:cs="宋体"/>
                      <w:color w:val="auto"/>
                      <w:sz w:val="21"/>
                      <w:szCs w:val="21"/>
                    </w:rPr>
                    <w:t>同类项目业绩</w:t>
                  </w:r>
                </w:p>
              </w:tc>
              <w:tc>
                <w:tcPr>
                  <w:tcW w:w="5635" w:type="dxa"/>
                  <w:vAlign w:val="center"/>
                </w:tcPr>
                <w:p w14:paraId="495E9A35">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ind w:leftChars="0"/>
                    <w:jc w:val="left"/>
                    <w:textAlignment w:val="auto"/>
                    <w:rPr>
                      <w:rFonts w:hint="eastAsia" w:ascii="宋体" w:hAnsi="宋体" w:eastAsia="宋体" w:cs="宋体"/>
                      <w:b/>
                      <w:color w:val="auto"/>
                      <w:sz w:val="21"/>
                      <w:szCs w:val="21"/>
                    </w:rPr>
                  </w:pPr>
                  <w:r>
                    <w:rPr>
                      <w:rFonts w:hint="eastAsia" w:ascii="宋体" w:hAnsi="宋体" w:eastAsia="宋体" w:cs="宋体"/>
                      <w:b/>
                      <w:color w:val="auto"/>
                      <w:sz w:val="21"/>
                      <w:szCs w:val="21"/>
                    </w:rPr>
                    <w:t>评审标准：</w:t>
                  </w:r>
                  <w:r>
                    <w:rPr>
                      <w:rFonts w:hint="eastAsia" w:ascii="宋体" w:hAnsi="宋体" w:eastAsia="宋体" w:cs="宋体"/>
                      <w:color w:val="auto"/>
                      <w:sz w:val="21"/>
                      <w:szCs w:val="21"/>
                    </w:rPr>
                    <w:t>投标人自</w:t>
                  </w:r>
                  <w:r>
                    <w:rPr>
                      <w:rFonts w:hint="eastAsia" w:ascii="宋体" w:hAnsi="宋体" w:eastAsia="宋体" w:cs="宋体"/>
                      <w:color w:val="auto"/>
                      <w:sz w:val="21"/>
                      <w:szCs w:val="21"/>
                      <w:highlight w:val="none"/>
                    </w:rPr>
                    <w:t>20</w:t>
                  </w:r>
                  <w:r>
                    <w:rPr>
                      <w:rFonts w:hint="eastAsia" w:ascii="宋体" w:hAnsi="宋体" w:cs="宋体"/>
                      <w:color w:val="auto"/>
                      <w:sz w:val="21"/>
                      <w:szCs w:val="21"/>
                      <w:highlight w:val="none"/>
                      <w:lang w:val="en-US" w:eastAsia="zh-CN"/>
                    </w:rPr>
                    <w:t>25</w:t>
                  </w:r>
                  <w:r>
                    <w:rPr>
                      <w:rFonts w:hint="eastAsia" w:ascii="宋体" w:hAnsi="宋体" w:eastAsia="宋体" w:cs="宋体"/>
                      <w:color w:val="auto"/>
                      <w:sz w:val="21"/>
                      <w:szCs w:val="21"/>
                      <w:highlight w:val="none"/>
                    </w:rPr>
                    <w:t>年</w:t>
                  </w:r>
                  <w:r>
                    <w:rPr>
                      <w:rFonts w:hint="eastAsia" w:ascii="宋体" w:hAnsi="宋体" w:eastAsia="宋体" w:cs="宋体"/>
                      <w:color w:val="auto"/>
                      <w:sz w:val="21"/>
                      <w:szCs w:val="21"/>
                      <w:highlight w:val="none"/>
                      <w:lang w:val="en-US" w:eastAsia="zh-CN"/>
                    </w:rPr>
                    <w:t>3</w:t>
                  </w:r>
                  <w:r>
                    <w:rPr>
                      <w:rFonts w:hint="eastAsia" w:ascii="宋体" w:hAnsi="宋体" w:eastAsia="宋体" w:cs="宋体"/>
                      <w:color w:val="auto"/>
                      <w:sz w:val="21"/>
                      <w:szCs w:val="21"/>
                      <w:highlight w:val="none"/>
                    </w:rPr>
                    <w:t>月</w:t>
                  </w:r>
                  <w:r>
                    <w:rPr>
                      <w:rFonts w:hint="eastAsia" w:ascii="宋体" w:hAnsi="宋体" w:cs="宋体"/>
                      <w:color w:val="auto"/>
                      <w:sz w:val="21"/>
                      <w:szCs w:val="21"/>
                      <w:highlight w:val="none"/>
                      <w:lang w:val="en-US" w:eastAsia="zh-CN"/>
                    </w:rPr>
                    <w:t>1</w:t>
                  </w:r>
                  <w:r>
                    <w:rPr>
                      <w:rFonts w:hint="eastAsia" w:ascii="宋体" w:hAnsi="宋体" w:eastAsia="宋体" w:cs="宋体"/>
                      <w:color w:val="auto"/>
                      <w:sz w:val="21"/>
                      <w:szCs w:val="21"/>
                      <w:highlight w:val="none"/>
                    </w:rPr>
                    <w:t>日</w:t>
                  </w:r>
                  <w:r>
                    <w:rPr>
                      <w:rFonts w:hint="eastAsia" w:ascii="宋体" w:hAnsi="宋体" w:eastAsia="宋体" w:cs="宋体"/>
                      <w:color w:val="auto"/>
                      <w:sz w:val="21"/>
                      <w:szCs w:val="21"/>
                    </w:rPr>
                    <w:t>至本项目开标之日止</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以合同签订之日为准</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，具有医院相关</w:t>
                  </w:r>
                  <w:r>
                    <w:rPr>
                      <w:rFonts w:hint="eastAsia" w:ascii="宋体" w:hAnsi="宋体" w:cs="宋体"/>
                      <w:color w:val="auto"/>
                      <w:sz w:val="21"/>
                      <w:szCs w:val="21"/>
                      <w:lang w:val="en-US" w:eastAsia="zh-CN"/>
                    </w:rPr>
                    <w:t>陪护</w:t>
                  </w:r>
                  <w:r>
                    <w:rPr>
                      <w:rFonts w:hint="eastAsia" w:ascii="宋体" w:hAnsi="宋体" w:eastAsia="宋体" w:cs="宋体"/>
                      <w:color w:val="auto"/>
                      <w:sz w:val="21"/>
                      <w:szCs w:val="21"/>
                    </w:rPr>
                    <w:t>服务业绩</w:t>
                  </w:r>
                  <w:r>
                    <w:rPr>
                      <w:rFonts w:hint="eastAsia" w:ascii="宋体" w:hAnsi="宋体" w:cs="宋体"/>
                      <w:color w:val="auto"/>
                      <w:sz w:val="21"/>
                      <w:szCs w:val="21"/>
                      <w:lang w:eastAsia="zh-CN"/>
                    </w:rPr>
                    <w:t>（含医疗护理或养老护理）</w:t>
                  </w:r>
                  <w:r>
                    <w:rPr>
                      <w:rFonts w:hint="eastAsia" w:ascii="宋体" w:hAnsi="宋体" w:eastAsia="宋体" w:cs="宋体"/>
                      <w:color w:val="auto"/>
                      <w:sz w:val="21"/>
                      <w:szCs w:val="21"/>
                    </w:rPr>
                    <w:t>，且服务评价证明为满意或优秀或优或良好或良</w:t>
                  </w:r>
                  <w:r>
                    <w:rPr>
                      <w:rFonts w:hint="eastAsia" w:ascii="宋体" w:hAnsi="宋体" w:eastAsia="宋体" w:cs="宋体"/>
                      <w:color w:val="auto"/>
                      <w:sz w:val="21"/>
                      <w:szCs w:val="21"/>
                      <w:lang w:val="en-US" w:eastAsia="zh-CN"/>
                    </w:rPr>
                    <w:t>评价</w:t>
                  </w:r>
                  <w:r>
                    <w:rPr>
                      <w:rFonts w:hint="eastAsia" w:ascii="宋体" w:hAnsi="宋体" w:eastAsia="宋体" w:cs="宋体"/>
                      <w:color w:val="auto"/>
                      <w:sz w:val="21"/>
                      <w:szCs w:val="21"/>
                    </w:rPr>
                    <w:t>的（如服务评价证明不能反映上述评价内容的不得分），每提供一项业绩得5分，</w:t>
                  </w:r>
                  <w:r>
                    <w:rPr>
                      <w:rFonts w:hint="eastAsia" w:ascii="宋体" w:hAnsi="宋体" w:eastAsia="宋体" w:cs="宋体"/>
                      <w:color w:val="auto"/>
                      <w:sz w:val="21"/>
                      <w:szCs w:val="21"/>
                      <w:highlight w:val="none"/>
                    </w:rPr>
                    <w:t>最高得</w:t>
                  </w:r>
                  <w:r>
                    <w:rPr>
                      <w:rFonts w:hint="eastAsia" w:ascii="宋体" w:hAnsi="宋体" w:eastAsia="宋体" w:cs="宋体"/>
                      <w:color w:val="auto"/>
                      <w:sz w:val="21"/>
                      <w:szCs w:val="21"/>
                      <w:highlight w:val="none"/>
                      <w:lang w:val="en-US" w:eastAsia="zh-CN"/>
                    </w:rPr>
                    <w:t>20</w:t>
                  </w:r>
                  <w:r>
                    <w:rPr>
                      <w:rFonts w:hint="eastAsia" w:ascii="宋体" w:hAnsi="宋体" w:eastAsia="宋体" w:cs="宋体"/>
                      <w:color w:val="auto"/>
                      <w:sz w:val="21"/>
                      <w:szCs w:val="21"/>
                      <w:highlight w:val="none"/>
                    </w:rPr>
                    <w:t>分</w:t>
                  </w:r>
                  <w:r>
                    <w:rPr>
                      <w:rFonts w:hint="eastAsia" w:ascii="宋体" w:hAnsi="宋体" w:eastAsia="宋体" w:cs="宋体"/>
                      <w:color w:val="auto"/>
                      <w:sz w:val="21"/>
                      <w:szCs w:val="21"/>
                    </w:rPr>
                    <w:t>。同一项目续签合同的不重复计分；每个项目须单独开具评价证明。</w:t>
                  </w:r>
                </w:p>
                <w:p w14:paraId="0B7B6BD3">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ind w:leftChars="0"/>
                    <w:jc w:val="left"/>
                    <w:textAlignment w:val="auto"/>
                    <w:rPr>
                      <w:rFonts w:hint="eastAsia" w:ascii="宋体" w:hAnsi="宋体" w:eastAsia="宋体" w:cs="宋体"/>
                      <w:color w:val="auto"/>
                      <w:sz w:val="21"/>
                      <w:szCs w:val="21"/>
                    </w:rPr>
                  </w:pPr>
                  <w:r>
                    <w:rPr>
                      <w:rFonts w:hint="eastAsia" w:ascii="宋体" w:hAnsi="宋体" w:eastAsia="宋体" w:cs="宋体"/>
                      <w:b/>
                      <w:color w:val="auto"/>
                      <w:sz w:val="21"/>
                      <w:szCs w:val="21"/>
                    </w:rPr>
                    <w:t>证明文件：</w:t>
                  </w:r>
                  <w:r>
                    <w:rPr>
                      <w:rFonts w:hint="eastAsia" w:ascii="宋体" w:hAnsi="宋体" w:eastAsia="宋体" w:cs="宋体"/>
                      <w:color w:val="auto"/>
                      <w:sz w:val="21"/>
                      <w:szCs w:val="21"/>
                    </w:rPr>
                    <w:t>投标人须提供项目合同关键页（含签订合同双方的单位名称、合同项目名称、签订合同双方的落款盖章、签订日期的关键页）及服务评价证明文件复印件，未按要求提供或提供不清晰导致评委无法判断的不得分。</w:t>
                  </w:r>
                </w:p>
              </w:tc>
              <w:tc>
                <w:tcPr>
                  <w:tcW w:w="780" w:type="dxa"/>
                  <w:tcBorders>
                    <w:right w:val="single" w:color="auto" w:sz="4" w:space="0"/>
                  </w:tcBorders>
                  <w:vAlign w:val="center"/>
                </w:tcPr>
                <w:p w14:paraId="74416C8A">
                  <w:pPr>
                    <w:ind w:left="-63" w:leftChars="-30" w:right="-88" w:rightChars="-42"/>
                    <w:jc w:val="center"/>
                    <w:rPr>
                      <w:rFonts w:hint="default"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20</w:t>
                  </w:r>
                </w:p>
              </w:tc>
              <w:tc>
                <w:tcPr>
                  <w:tcW w:w="697" w:type="dxa"/>
                  <w:tcBorders>
                    <w:left w:val="single" w:color="auto" w:sz="4" w:space="0"/>
                  </w:tcBorders>
                  <w:vAlign w:val="center"/>
                </w:tcPr>
                <w:p w14:paraId="4BF5705C">
                  <w:pPr>
                    <w:ind w:left="-78" w:leftChars="-37" w:right="-73" w:rightChars="-35"/>
                    <w:jc w:val="center"/>
                    <w:rPr>
                      <w:rFonts w:hint="default"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20</w:t>
                  </w:r>
                </w:p>
              </w:tc>
            </w:tr>
            <w:tr w14:paraId="02CFE796">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83" w:hRule="atLeast"/>
              </w:trPr>
              <w:tc>
                <w:tcPr>
                  <w:tcW w:w="680" w:type="dxa"/>
                  <w:tcBorders>
                    <w:top w:val="single" w:color="auto" w:sz="4" w:space="0"/>
                    <w:bottom w:val="single" w:color="auto" w:sz="4" w:space="0"/>
                  </w:tcBorders>
                  <w:vAlign w:val="center"/>
                </w:tcPr>
                <w:p w14:paraId="6FE6959C">
                  <w:pPr>
                    <w:pStyle w:val="186"/>
                    <w:numPr>
                      <w:ilvl w:val="0"/>
                      <w:numId w:val="8"/>
                    </w:numPr>
                    <w:ind w:firstLineChars="0"/>
                    <w:jc w:val="center"/>
                    <w:rPr>
                      <w:rFonts w:hint="eastAsia" w:ascii="宋体" w:hAnsi="宋体" w:eastAsia="宋体" w:cs="宋体"/>
                      <w:color w:val="auto"/>
                      <w:sz w:val="21"/>
                      <w:szCs w:val="21"/>
                    </w:rPr>
                  </w:pPr>
                </w:p>
              </w:tc>
              <w:tc>
                <w:tcPr>
                  <w:tcW w:w="1355" w:type="dxa"/>
                  <w:vAlign w:val="center"/>
                </w:tcPr>
                <w:p w14:paraId="25EB9D99">
                  <w:pPr>
                    <w:jc w:val="center"/>
                    <w:rPr>
                      <w:rFonts w:hint="eastAsia" w:ascii="宋体" w:hAnsi="宋体" w:eastAsia="宋体" w:cs="宋体"/>
                      <w:color w:val="auto"/>
                      <w:sz w:val="21"/>
                      <w:szCs w:val="21"/>
                    </w:rPr>
                  </w:pPr>
                  <w:r>
                    <w:rPr>
                      <w:rFonts w:hint="eastAsia" w:ascii="宋体" w:hAnsi="宋体" w:eastAsia="宋体" w:cs="宋体"/>
                      <w:color w:val="auto"/>
                      <w:sz w:val="21"/>
                      <w:szCs w:val="21"/>
                    </w:rPr>
                    <w:t>投标人体系认证情况</w:t>
                  </w:r>
                </w:p>
              </w:tc>
              <w:tc>
                <w:tcPr>
                  <w:tcW w:w="5635" w:type="dxa"/>
                  <w:vAlign w:val="center"/>
                </w:tcPr>
                <w:p w14:paraId="192726D1">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ind w:left="0" w:firstLine="0"/>
                    <w:jc w:val="left"/>
                    <w:textAlignment w:val="auto"/>
                    <w:rPr>
                      <w:rFonts w:hint="eastAsia" w:ascii="宋体" w:hAnsi="宋体" w:eastAsia="宋体" w:cs="宋体"/>
                      <w:b/>
                      <w:color w:val="auto"/>
                      <w:sz w:val="21"/>
                      <w:szCs w:val="21"/>
                    </w:rPr>
                  </w:pPr>
                  <w:r>
                    <w:rPr>
                      <w:rFonts w:hint="eastAsia" w:ascii="宋体" w:hAnsi="宋体" w:eastAsia="宋体" w:cs="宋体"/>
                      <w:b/>
                      <w:color w:val="auto"/>
                      <w:sz w:val="21"/>
                      <w:szCs w:val="21"/>
                    </w:rPr>
                    <w:t>评审标准：</w:t>
                  </w:r>
                  <w:r>
                    <w:rPr>
                      <w:rFonts w:hint="eastAsia" w:ascii="宋体" w:hAnsi="宋体" w:eastAsia="宋体" w:cs="宋体"/>
                      <w:color w:val="auto"/>
                      <w:sz w:val="21"/>
                      <w:szCs w:val="21"/>
                    </w:rPr>
                    <w:t>投标人具有质量管理体系认证证书、环境管理体系认证证书、职业健康安全管理体系认证证书的，通过一项有效认证的得</w:t>
                  </w: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rPr>
                    <w:t>分，最高</w:t>
                  </w:r>
                  <w:r>
                    <w:rPr>
                      <w:rFonts w:hint="eastAsia" w:ascii="宋体" w:hAnsi="宋体" w:eastAsia="宋体" w:cs="宋体"/>
                      <w:color w:val="auto"/>
                      <w:sz w:val="21"/>
                      <w:szCs w:val="21"/>
                      <w:lang w:val="en-US" w:eastAsia="zh-CN"/>
                    </w:rPr>
                    <w:t>6</w:t>
                  </w:r>
                  <w:r>
                    <w:rPr>
                      <w:rFonts w:hint="eastAsia" w:ascii="宋体" w:hAnsi="宋体" w:eastAsia="宋体" w:cs="宋体"/>
                      <w:color w:val="auto"/>
                      <w:sz w:val="21"/>
                      <w:szCs w:val="21"/>
                    </w:rPr>
                    <w:t>分；</w:t>
                  </w:r>
                </w:p>
                <w:p w14:paraId="42AE73BE">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ind w:leftChars="0"/>
                    <w:jc w:val="left"/>
                    <w:textAlignment w:val="auto"/>
                    <w:rPr>
                      <w:rFonts w:hint="eastAsia" w:ascii="宋体" w:hAnsi="宋体" w:eastAsia="宋体" w:cs="宋体"/>
                      <w:color w:val="auto"/>
                      <w:sz w:val="21"/>
                      <w:szCs w:val="21"/>
                    </w:rPr>
                  </w:pPr>
                  <w:r>
                    <w:rPr>
                      <w:rFonts w:hint="eastAsia" w:ascii="宋体" w:hAnsi="宋体" w:eastAsia="宋体" w:cs="宋体"/>
                      <w:b/>
                      <w:color w:val="auto"/>
                      <w:sz w:val="21"/>
                      <w:szCs w:val="21"/>
                    </w:rPr>
                    <w:t>证明文件：</w:t>
                  </w:r>
                  <w:r>
                    <w:rPr>
                      <w:rFonts w:hint="eastAsia" w:ascii="宋体" w:hAnsi="宋体" w:eastAsia="宋体" w:cs="宋体"/>
                      <w:color w:val="auto"/>
                      <w:sz w:val="21"/>
                      <w:szCs w:val="21"/>
                    </w:rPr>
                    <w:t>第①项投标人须提供有效期内的认证证书复印件及全国认证认可信息公共服务平台（认e云）（http://cx.cnca.cn/）的认证信息截图（须体现网站信息），打印认证证书网站公布的链接信息资料截图（网址以http://cx.cnca.cn/CertECloud/index/index/page网站公布为准），资料证书状态须显示“有效”。第②项投标人须提供相关资质</w:t>
                  </w:r>
                  <w:r>
                    <w:rPr>
                      <w:rFonts w:hint="eastAsia" w:ascii="宋体" w:hAnsi="宋体" w:eastAsia="宋体" w:cs="宋体"/>
                      <w:color w:val="auto"/>
                      <w:sz w:val="21"/>
                      <w:szCs w:val="21"/>
                      <w:lang w:eastAsia="zh-CN"/>
                    </w:rPr>
                    <w:t>文件</w:t>
                  </w:r>
                  <w:r>
                    <w:rPr>
                      <w:rFonts w:hint="eastAsia" w:ascii="宋体" w:hAnsi="宋体" w:eastAsia="宋体" w:cs="宋体"/>
                      <w:color w:val="auto"/>
                      <w:sz w:val="21"/>
                      <w:szCs w:val="21"/>
                    </w:rPr>
                    <w:t>证明的复印件加盖投标人公章，未按要求提供或提供不清晰导致评委无法判断的不得分。</w:t>
                  </w:r>
                </w:p>
              </w:tc>
              <w:tc>
                <w:tcPr>
                  <w:tcW w:w="780" w:type="dxa"/>
                  <w:tcBorders>
                    <w:right w:val="single" w:color="auto" w:sz="4" w:space="0"/>
                  </w:tcBorders>
                  <w:vAlign w:val="center"/>
                </w:tcPr>
                <w:p w14:paraId="0E1793C4">
                  <w:pPr>
                    <w:ind w:left="-63" w:leftChars="-30" w:right="-88" w:rightChars="-42"/>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6</w:t>
                  </w:r>
                </w:p>
              </w:tc>
              <w:tc>
                <w:tcPr>
                  <w:tcW w:w="697" w:type="dxa"/>
                  <w:tcBorders>
                    <w:left w:val="single" w:color="auto" w:sz="4" w:space="0"/>
                  </w:tcBorders>
                  <w:vAlign w:val="center"/>
                </w:tcPr>
                <w:p w14:paraId="4769FC27">
                  <w:pPr>
                    <w:ind w:left="-78" w:leftChars="-37" w:right="-73" w:rightChars="-35"/>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6</w:t>
                  </w:r>
                </w:p>
              </w:tc>
            </w:tr>
            <w:tr w14:paraId="16603123">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83" w:hRule="atLeast"/>
              </w:trPr>
              <w:tc>
                <w:tcPr>
                  <w:tcW w:w="680" w:type="dxa"/>
                  <w:tcBorders>
                    <w:top w:val="single" w:color="auto" w:sz="4" w:space="0"/>
                  </w:tcBorders>
                  <w:vAlign w:val="center"/>
                </w:tcPr>
                <w:p w14:paraId="503E9BB4">
                  <w:pPr>
                    <w:pStyle w:val="186"/>
                    <w:numPr>
                      <w:ilvl w:val="0"/>
                      <w:numId w:val="8"/>
                    </w:numPr>
                    <w:ind w:firstLineChars="0"/>
                    <w:jc w:val="center"/>
                    <w:rPr>
                      <w:rFonts w:hint="eastAsia" w:ascii="宋体" w:hAnsi="宋体" w:eastAsia="宋体" w:cs="宋体"/>
                      <w:color w:val="auto"/>
                      <w:sz w:val="21"/>
                      <w:szCs w:val="21"/>
                    </w:rPr>
                  </w:pPr>
                </w:p>
              </w:tc>
              <w:tc>
                <w:tcPr>
                  <w:tcW w:w="1355" w:type="dxa"/>
                  <w:vAlign w:val="center"/>
                </w:tcPr>
                <w:p w14:paraId="1AA80AC9">
                  <w:pPr>
                    <w:jc w:val="center"/>
                    <w:rPr>
                      <w:rFonts w:hint="eastAsia" w:ascii="宋体" w:hAnsi="宋体" w:eastAsia="宋体" w:cs="宋体"/>
                      <w:bCs/>
                      <w:color w:val="auto"/>
                      <w:sz w:val="21"/>
                      <w:szCs w:val="21"/>
                      <w:highlight w:val="green"/>
                    </w:rPr>
                  </w:pPr>
                  <w:r>
                    <w:rPr>
                      <w:rFonts w:hint="eastAsia" w:ascii="宋体" w:hAnsi="宋体" w:eastAsia="宋体" w:cs="宋体"/>
                      <w:color w:val="auto"/>
                      <w:sz w:val="21"/>
                      <w:szCs w:val="21"/>
                    </w:rPr>
                    <w:t>诚信</w:t>
                  </w:r>
                </w:p>
              </w:tc>
              <w:tc>
                <w:tcPr>
                  <w:tcW w:w="5635" w:type="dxa"/>
                  <w:vAlign w:val="center"/>
                </w:tcPr>
                <w:p w14:paraId="17323387">
                  <w:pPr>
                    <w:keepNext w:val="0"/>
                    <w:keepLines w:val="0"/>
                    <w:pageBreakBefore w:val="0"/>
                    <w:widowControl w:val="0"/>
                    <w:kinsoku/>
                    <w:wordWrap/>
                    <w:overflowPunct/>
                    <w:topLinePunct w:val="0"/>
                    <w:autoSpaceDE/>
                    <w:autoSpaceDN/>
                    <w:bidi w:val="0"/>
                    <w:adjustRightInd w:val="0"/>
                    <w:snapToGrid w:val="0"/>
                    <w:spacing w:line="240" w:lineRule="auto"/>
                    <w:ind w:firstLine="0"/>
                    <w:jc w:val="left"/>
                    <w:textAlignment w:val="auto"/>
                    <w:rPr>
                      <w:rFonts w:hint="eastAsia" w:ascii="宋体" w:hAnsi="宋体" w:cs="宋体"/>
                      <w:color w:val="auto"/>
                      <w:szCs w:val="21"/>
                    </w:rPr>
                  </w:pPr>
                  <w:r>
                    <w:rPr>
                      <w:rFonts w:hint="eastAsia" w:ascii="宋体" w:hAnsi="宋体" w:cs="宋体"/>
                      <w:color w:val="auto"/>
                      <w:szCs w:val="21"/>
                    </w:rPr>
                    <w:t>投标人存在《深圳市财政局政府采购供应商信用信息管理办法》（深财规〔2023〕3号）列明的一般行政处罚信息、一般违法失信记录信息的，本项不得分，不存在上述情形的本项得满分。投标人无需提供任何证明材料，评标过程中由工作人员向评审委员会提供有关供应商诚信查询结果。</w:t>
                  </w:r>
                </w:p>
                <w:p w14:paraId="17A0B4CD">
                  <w:pPr>
                    <w:keepNext w:val="0"/>
                    <w:keepLines w:val="0"/>
                    <w:pageBreakBefore w:val="0"/>
                    <w:widowControl w:val="0"/>
                    <w:kinsoku/>
                    <w:wordWrap/>
                    <w:overflowPunct/>
                    <w:topLinePunct w:val="0"/>
                    <w:autoSpaceDE/>
                    <w:autoSpaceDN/>
                    <w:bidi w:val="0"/>
                    <w:adjustRightInd w:val="0"/>
                    <w:snapToGrid w:val="0"/>
                    <w:spacing w:line="240" w:lineRule="auto"/>
                    <w:ind w:firstLine="0"/>
                    <w:jc w:val="left"/>
                    <w:textAlignment w:val="auto"/>
                    <w:rPr>
                      <w:rFonts w:hint="eastAsia" w:ascii="宋体" w:hAnsi="宋体" w:eastAsia="宋体" w:cs="宋体"/>
                      <w:color w:val="auto"/>
                      <w:sz w:val="21"/>
                      <w:szCs w:val="21"/>
                      <w:highlight w:val="yellow"/>
                    </w:rPr>
                  </w:pPr>
                  <w:r>
                    <w:rPr>
                      <w:rFonts w:hint="eastAsia" w:ascii="宋体" w:hAnsi="宋体" w:cs="宋体"/>
                      <w:color w:val="auto"/>
                      <w:szCs w:val="21"/>
                    </w:rPr>
                    <w:t>查询渠道：通过“信用中国”（www.creditchina.gov.cn）、“中国政府采购网”（www.ccgp.gov.cn）以及“深圳市政府采购监管网”（http://zfcg.sz.gov.cn）查询供应商信用信息，信用信息以开标当日的查询结果为准。</w:t>
                  </w:r>
                </w:p>
              </w:tc>
              <w:tc>
                <w:tcPr>
                  <w:tcW w:w="780" w:type="dxa"/>
                  <w:tcBorders>
                    <w:right w:val="single" w:color="auto" w:sz="4" w:space="0"/>
                  </w:tcBorders>
                  <w:vAlign w:val="center"/>
                </w:tcPr>
                <w:p w14:paraId="31C0D562">
                  <w:pPr>
                    <w:ind w:left="-78" w:leftChars="-37" w:right="-73" w:rightChars="-35"/>
                    <w:jc w:val="center"/>
                    <w:rPr>
                      <w:rFonts w:hint="eastAsia" w:ascii="宋体" w:hAnsi="宋体" w:eastAsia="宋体" w:cs="宋体"/>
                      <w:color w:val="auto"/>
                      <w:sz w:val="21"/>
                      <w:szCs w:val="21"/>
                    </w:rPr>
                  </w:pPr>
                  <w:r>
                    <w:rPr>
                      <w:rFonts w:hint="eastAsia" w:ascii="宋体" w:hAnsi="宋体" w:eastAsia="宋体" w:cs="宋体"/>
                      <w:color w:val="auto"/>
                      <w:sz w:val="21"/>
                      <w:szCs w:val="21"/>
                    </w:rPr>
                    <w:t>5</w:t>
                  </w:r>
                </w:p>
              </w:tc>
              <w:tc>
                <w:tcPr>
                  <w:tcW w:w="697" w:type="dxa"/>
                  <w:tcBorders>
                    <w:left w:val="single" w:color="auto" w:sz="4" w:space="0"/>
                  </w:tcBorders>
                  <w:vAlign w:val="center"/>
                </w:tcPr>
                <w:p w14:paraId="2D256CEA">
                  <w:pPr>
                    <w:ind w:left="-78" w:leftChars="-37" w:right="-73" w:rightChars="-35"/>
                    <w:jc w:val="center"/>
                    <w:rPr>
                      <w:rFonts w:hint="eastAsia" w:ascii="宋体" w:hAnsi="宋体" w:eastAsia="宋体" w:cs="宋体"/>
                      <w:color w:val="auto"/>
                      <w:sz w:val="21"/>
                      <w:szCs w:val="21"/>
                    </w:rPr>
                  </w:pPr>
                  <w:r>
                    <w:rPr>
                      <w:rFonts w:hint="eastAsia" w:ascii="宋体" w:hAnsi="宋体" w:eastAsia="宋体" w:cs="宋体"/>
                      <w:color w:val="auto"/>
                      <w:sz w:val="21"/>
                      <w:szCs w:val="21"/>
                    </w:rPr>
                    <w:t>5</w:t>
                  </w:r>
                </w:p>
              </w:tc>
            </w:tr>
            <w:tr w14:paraId="0F8BB96C">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47" w:hRule="atLeast"/>
              </w:trPr>
              <w:tc>
                <w:tcPr>
                  <w:tcW w:w="680" w:type="dxa"/>
                  <w:tcBorders>
                    <w:top w:val="single" w:color="auto" w:sz="4" w:space="0"/>
                  </w:tcBorders>
                  <w:vAlign w:val="center"/>
                </w:tcPr>
                <w:p w14:paraId="38B711A8">
                  <w:pPr>
                    <w:jc w:val="center"/>
                    <w:rPr>
                      <w:rFonts w:hint="eastAsia" w:ascii="宋体" w:hAnsi="宋体" w:eastAsia="宋体" w:cs="宋体"/>
                      <w:b/>
                      <w:color w:val="auto"/>
                      <w:sz w:val="21"/>
                      <w:szCs w:val="21"/>
                    </w:rPr>
                  </w:pPr>
                  <w:r>
                    <w:rPr>
                      <w:rFonts w:hint="eastAsia" w:ascii="宋体" w:hAnsi="宋体" w:eastAsia="宋体" w:cs="宋体"/>
                      <w:b/>
                      <w:color w:val="auto"/>
                      <w:sz w:val="21"/>
                      <w:szCs w:val="21"/>
                    </w:rPr>
                    <w:t>三</w:t>
                  </w:r>
                </w:p>
              </w:tc>
              <w:tc>
                <w:tcPr>
                  <w:tcW w:w="8467" w:type="dxa"/>
                  <w:gridSpan w:val="4"/>
                  <w:vAlign w:val="center"/>
                </w:tcPr>
                <w:p w14:paraId="6AFB6923">
                  <w:pPr>
                    <w:ind w:left="-78" w:leftChars="-37" w:right="-73" w:rightChars="-35"/>
                    <w:jc w:val="center"/>
                    <w:rPr>
                      <w:rFonts w:hint="eastAsia" w:ascii="宋体" w:hAnsi="宋体" w:eastAsia="宋体" w:cs="宋体"/>
                      <w:b/>
                      <w:color w:val="auto"/>
                      <w:sz w:val="21"/>
                      <w:szCs w:val="21"/>
                    </w:rPr>
                  </w:pPr>
                  <w:r>
                    <w:rPr>
                      <w:rFonts w:hint="eastAsia" w:ascii="宋体" w:hAnsi="宋体" w:eastAsia="宋体" w:cs="宋体"/>
                      <w:b/>
                      <w:color w:val="auto"/>
                      <w:sz w:val="21"/>
                      <w:szCs w:val="21"/>
                    </w:rPr>
                    <w:t>价格部分</w:t>
                  </w:r>
                  <w:r>
                    <w:rPr>
                      <w:rFonts w:hint="eastAsia" w:ascii="宋体" w:hAnsi="宋体" w:eastAsia="宋体" w:cs="宋体"/>
                      <w:b/>
                      <w:color w:val="auto"/>
                      <w:sz w:val="21"/>
                      <w:szCs w:val="21"/>
                      <w:highlight w:val="none"/>
                    </w:rPr>
                    <w:t>（</w:t>
                  </w:r>
                  <w:r>
                    <w:rPr>
                      <w:rFonts w:hint="eastAsia" w:ascii="宋体" w:hAnsi="宋体" w:eastAsia="宋体" w:cs="宋体"/>
                      <w:b/>
                      <w:color w:val="auto"/>
                      <w:sz w:val="21"/>
                      <w:szCs w:val="21"/>
                      <w:highlight w:val="none"/>
                      <w:lang w:val="en-US" w:eastAsia="zh-CN"/>
                    </w:rPr>
                    <w:t>12</w:t>
                  </w:r>
                  <w:r>
                    <w:rPr>
                      <w:rFonts w:hint="eastAsia" w:ascii="宋体" w:hAnsi="宋体" w:eastAsia="宋体" w:cs="宋体"/>
                      <w:b/>
                      <w:color w:val="auto"/>
                      <w:sz w:val="21"/>
                      <w:szCs w:val="21"/>
                      <w:highlight w:val="none"/>
                    </w:rPr>
                    <w:t>分）</w:t>
                  </w:r>
                </w:p>
              </w:tc>
            </w:tr>
            <w:tr w14:paraId="3215F161">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71" w:hRule="atLeast"/>
              </w:trPr>
              <w:tc>
                <w:tcPr>
                  <w:tcW w:w="680" w:type="dxa"/>
                  <w:vMerge w:val="restart"/>
                  <w:vAlign w:val="center"/>
                </w:tcPr>
                <w:p w14:paraId="01EF7FC9">
                  <w:pPr>
                    <w:jc w:val="center"/>
                    <w:rPr>
                      <w:rFonts w:hint="eastAsia" w:ascii="宋体" w:hAnsi="宋体" w:eastAsia="宋体" w:cs="宋体"/>
                      <w:color w:val="auto"/>
                      <w:sz w:val="21"/>
                      <w:szCs w:val="21"/>
                    </w:rPr>
                  </w:pPr>
                  <w:r>
                    <w:rPr>
                      <w:rFonts w:hint="eastAsia" w:ascii="宋体" w:hAnsi="宋体" w:eastAsia="宋体" w:cs="宋体"/>
                      <w:color w:val="auto"/>
                      <w:sz w:val="21"/>
                      <w:szCs w:val="21"/>
                    </w:rPr>
                    <w:t>1</w:t>
                  </w:r>
                </w:p>
              </w:tc>
              <w:tc>
                <w:tcPr>
                  <w:tcW w:w="1355" w:type="dxa"/>
                  <w:vAlign w:val="center"/>
                </w:tcPr>
                <w:p w14:paraId="43EA3E13">
                  <w:pPr>
                    <w:pStyle w:val="478"/>
                    <w:keepNext w:val="0"/>
                    <w:keepLines w:val="0"/>
                    <w:pageBreakBefore w:val="0"/>
                    <w:widowControl w:val="0"/>
                    <w:kinsoku/>
                    <w:wordWrap/>
                    <w:overflowPunct/>
                    <w:topLinePunct w:val="0"/>
                    <w:bidi w:val="0"/>
                    <w:adjustRightInd w:val="0"/>
                    <w:snapToGrid w:val="0"/>
                    <w:spacing w:line="240" w:lineRule="auto"/>
                    <w:ind w:left="0" w:leftChars="0" w:right="0" w:rightChars="0" w:firstLine="0" w:firstLineChars="0"/>
                    <w:jc w:val="center"/>
                    <w:textAlignment w:val="auto"/>
                    <w:rPr>
                      <w:rFonts w:hint="default" w:ascii="宋体" w:hAnsi="宋体" w:eastAsia="宋体" w:cs="宋体"/>
                      <w:color w:val="auto"/>
                      <w:sz w:val="21"/>
                      <w:szCs w:val="21"/>
                      <w:lang w:val="en-US"/>
                    </w:rPr>
                  </w:pPr>
                  <w:r>
                    <w:rPr>
                      <w:rFonts w:hint="eastAsia" w:ascii="宋体" w:hAnsi="宋体" w:eastAsia="宋体" w:cs="宋体"/>
                      <w:kern w:val="0"/>
                      <w:sz w:val="21"/>
                      <w:szCs w:val="21"/>
                      <w:lang w:val="zh-CN" w:eastAsia="zh-CN" w:bidi="zh-CN"/>
                    </w:rPr>
                    <w:t>一对一</w:t>
                  </w:r>
                  <w:r>
                    <w:rPr>
                      <w:rFonts w:hint="eastAsia" w:eastAsia="宋体" w:cs="宋体"/>
                      <w:kern w:val="0"/>
                      <w:sz w:val="21"/>
                      <w:szCs w:val="21"/>
                      <w:lang w:val="zh-CN" w:eastAsia="zh-CN" w:bidi="zh-CN"/>
                    </w:rPr>
                    <w:t>、</w:t>
                  </w:r>
                  <w:r>
                    <w:rPr>
                      <w:rFonts w:hint="eastAsia" w:ascii="宋体" w:hAnsi="宋体" w:eastAsia="宋体" w:cs="宋体"/>
                      <w:kern w:val="0"/>
                      <w:sz w:val="21"/>
                      <w:szCs w:val="21"/>
                      <w:lang w:val="zh-CN" w:eastAsia="zh-CN" w:bidi="zh-CN"/>
                    </w:rPr>
                    <w:t>一对二</w:t>
                  </w:r>
                  <w:r>
                    <w:rPr>
                      <w:rFonts w:hint="eastAsia" w:eastAsia="宋体" w:cs="宋体"/>
                      <w:kern w:val="0"/>
                      <w:sz w:val="21"/>
                      <w:szCs w:val="21"/>
                      <w:lang w:val="zh-CN" w:eastAsia="zh-CN" w:bidi="zh-CN"/>
                    </w:rPr>
                    <w:t>、</w:t>
                  </w:r>
                  <w:r>
                    <w:rPr>
                      <w:rFonts w:hint="eastAsia" w:ascii="宋体" w:hAnsi="宋体" w:eastAsia="宋体" w:cs="宋体"/>
                      <w:kern w:val="0"/>
                      <w:sz w:val="21"/>
                      <w:szCs w:val="21"/>
                      <w:lang w:val="zh-CN" w:eastAsia="zh-CN" w:bidi="zh-CN"/>
                    </w:rPr>
                    <w:t>一对</w:t>
                  </w:r>
                  <w:r>
                    <w:rPr>
                      <w:rFonts w:hint="eastAsia" w:eastAsia="宋体" w:cs="宋体"/>
                      <w:kern w:val="0"/>
                      <w:sz w:val="21"/>
                      <w:szCs w:val="21"/>
                      <w:lang w:val="zh-CN" w:eastAsia="zh-CN" w:bidi="zh-CN"/>
                    </w:rPr>
                    <w:t>三</w:t>
                  </w:r>
                  <w:r>
                    <w:rPr>
                      <w:rFonts w:hint="eastAsia" w:ascii="宋体" w:hAnsi="宋体" w:eastAsia="宋体" w:cs="宋体"/>
                      <w:kern w:val="0"/>
                      <w:sz w:val="21"/>
                      <w:szCs w:val="21"/>
                      <w:lang w:val="zh-CN" w:eastAsia="zh-CN" w:bidi="zh-CN"/>
                    </w:rPr>
                    <w:t>普通陪护</w:t>
                  </w:r>
                  <w:r>
                    <w:rPr>
                      <w:rFonts w:hint="eastAsia" w:cs="宋体"/>
                      <w:kern w:val="0"/>
                      <w:sz w:val="21"/>
                      <w:szCs w:val="21"/>
                      <w:lang w:val="en-US" w:eastAsia="zh-CN" w:bidi="zh-CN"/>
                    </w:rPr>
                    <w:t>投标报价</w:t>
                  </w:r>
                </w:p>
              </w:tc>
              <w:tc>
                <w:tcPr>
                  <w:tcW w:w="5635" w:type="dxa"/>
                  <w:vAlign w:val="center"/>
                </w:tcPr>
                <w:p w14:paraId="332B7F5A">
                  <w:pPr>
                    <w:rPr>
                      <w:rStyle w:val="54"/>
                      <w:rFonts w:hint="eastAsia" w:ascii="宋体" w:hAnsi="宋体" w:eastAsia="宋体" w:cs="宋体"/>
                      <w:color w:val="auto"/>
                      <w:sz w:val="21"/>
                      <w:szCs w:val="21"/>
                      <w:lang w:eastAsia="zh-CN"/>
                    </w:rPr>
                  </w:pPr>
                  <w:r>
                    <w:rPr>
                      <w:rStyle w:val="54"/>
                      <w:rFonts w:hint="eastAsia" w:ascii="宋体" w:hAnsi="宋体" w:eastAsia="宋体" w:cs="宋体"/>
                      <w:color w:val="auto"/>
                      <w:sz w:val="21"/>
                      <w:szCs w:val="21"/>
                    </w:rPr>
                    <w:t>落实政</w:t>
                  </w:r>
                  <w:r>
                    <w:rPr>
                      <w:rStyle w:val="54"/>
                      <w:rFonts w:hint="eastAsia" w:ascii="宋体" w:hAnsi="宋体" w:eastAsia="宋体" w:cs="宋体"/>
                      <w:color w:val="auto"/>
                      <w:sz w:val="21"/>
                      <w:szCs w:val="21"/>
                      <w:lang w:eastAsia="zh-CN"/>
                    </w:rPr>
                    <w:t>府政策规定价格，参考文件《国家医疗保障局办公室关于进一步做好医疗服务价格管理工作的通知》（医保办发〔2022〕16号）、《关于印发〈护理类医疗服务价格项目立项指南（试行）〉的通知》（医保价采函〔2024〕168号），《广东省医疗保障局关于公布“免陪照护服务”价格项目的通知》（粤医保发〔2025〕2号）</w:t>
                  </w:r>
                </w:p>
                <w:p w14:paraId="18F2B3C5">
                  <w:pPr>
                    <w:autoSpaceDE w:val="0"/>
                    <w:autoSpaceDN w:val="0"/>
                    <w:adjustRightInd w:val="0"/>
                    <w:snapToGrid w:val="0"/>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价格分应当采用低价优先法计算，即满足招标文件要求且投标价格最低的投标报价为评标基准价，其价格分为满分。其他投标人的价格分统一按照下列公式计算：</w:t>
                  </w:r>
                </w:p>
                <w:p w14:paraId="33D47205">
                  <w:pPr>
                    <w:widowControl/>
                    <w:jc w:val="left"/>
                    <w:rPr>
                      <w:rFonts w:hint="eastAsia" w:ascii="宋体" w:hAnsi="宋体" w:eastAsia="宋体" w:cs="宋体"/>
                      <w:color w:val="auto"/>
                      <w:kern w:val="0"/>
                      <w:szCs w:val="21"/>
                      <w:lang w:val="en-US" w:eastAsia="zh-CN"/>
                    </w:rPr>
                  </w:pPr>
                  <w:r>
                    <w:rPr>
                      <w:rFonts w:hint="eastAsia" w:ascii="宋体" w:hAnsi="宋体" w:eastAsia="宋体" w:cs="宋体"/>
                      <w:b/>
                      <w:bCs/>
                      <w:color w:val="auto"/>
                      <w:kern w:val="0"/>
                      <w:szCs w:val="21"/>
                    </w:rPr>
                    <w:t>投标报价得分=(评标基准价／投标报价)×100×权重</w:t>
                  </w:r>
                </w:p>
                <w:p w14:paraId="6405BCF9">
                  <w:pPr>
                    <w:widowControl/>
                    <w:jc w:val="left"/>
                    <w:rPr>
                      <w:rFonts w:hint="eastAsia" w:ascii="宋体" w:hAnsi="宋体" w:eastAsia="宋体" w:cs="宋体"/>
                      <w:bCs/>
                      <w:color w:val="auto"/>
                      <w:sz w:val="21"/>
                      <w:szCs w:val="21"/>
                    </w:rPr>
                  </w:pPr>
                  <w:r>
                    <w:rPr>
                      <w:rFonts w:hint="eastAsia" w:ascii="宋体" w:hAnsi="宋体" w:eastAsia="宋体" w:cs="宋体"/>
                      <w:bCs/>
                      <w:color w:val="auto"/>
                      <w:sz w:val="21"/>
                      <w:szCs w:val="21"/>
                    </w:rPr>
                    <w:t>备注：</w:t>
                  </w:r>
                </w:p>
                <w:p w14:paraId="5F87E92E">
                  <w:pPr>
                    <w:widowControl/>
                    <w:jc w:val="left"/>
                    <w:rPr>
                      <w:rFonts w:hint="eastAsia" w:ascii="宋体" w:hAnsi="宋体" w:eastAsia="宋体" w:cs="宋体"/>
                      <w:bCs/>
                      <w:color w:val="auto"/>
                      <w:sz w:val="21"/>
                      <w:szCs w:val="21"/>
                    </w:rPr>
                  </w:pPr>
                  <w:r>
                    <w:rPr>
                      <w:rFonts w:hint="eastAsia" w:ascii="宋体" w:hAnsi="宋体" w:eastAsia="宋体" w:cs="宋体"/>
                      <w:bCs/>
                      <w:color w:val="auto"/>
                      <w:sz w:val="21"/>
                      <w:szCs w:val="21"/>
                    </w:rPr>
                    <w:t>1、投标报价得分四舍五入后，</w:t>
                  </w:r>
                  <w:r>
                    <w:rPr>
                      <w:rFonts w:hint="eastAsia" w:ascii="宋体" w:hAnsi="宋体" w:eastAsia="宋体" w:cs="宋体"/>
                      <w:color w:val="auto"/>
                      <w:sz w:val="21"/>
                      <w:szCs w:val="21"/>
                    </w:rPr>
                    <w:t>小数点后保留两位有效数</w:t>
                  </w:r>
                  <w:r>
                    <w:rPr>
                      <w:rFonts w:hint="eastAsia" w:ascii="宋体" w:hAnsi="宋体" w:eastAsia="宋体" w:cs="宋体"/>
                      <w:bCs/>
                      <w:color w:val="auto"/>
                      <w:sz w:val="21"/>
                      <w:szCs w:val="21"/>
                    </w:rPr>
                    <w:t>。</w:t>
                  </w:r>
                </w:p>
                <w:p w14:paraId="56B5F1C3">
                  <w:pPr>
                    <w:pStyle w:val="2"/>
                    <w:rPr>
                      <w:rFonts w:hint="eastAsia"/>
                      <w:lang w:eastAsia="zh-CN"/>
                    </w:rPr>
                  </w:pPr>
                  <w:r>
                    <w:rPr>
                      <w:rStyle w:val="54"/>
                      <w:rFonts w:hint="eastAsia" w:ascii="宋体" w:hAnsi="宋体" w:eastAsia="宋体" w:cs="宋体"/>
                      <w:color w:val="auto"/>
                      <w:sz w:val="21"/>
                      <w:szCs w:val="21"/>
                      <w:lang w:val="en-US" w:eastAsia="zh-CN"/>
                    </w:rPr>
                    <w:t>2</w:t>
                  </w:r>
                  <w:r>
                    <w:rPr>
                      <w:rStyle w:val="54"/>
                      <w:rFonts w:hint="eastAsia" w:ascii="宋体" w:hAnsi="宋体" w:eastAsia="宋体" w:cs="宋体"/>
                      <w:color w:val="auto"/>
                      <w:sz w:val="21"/>
                      <w:szCs w:val="21"/>
                    </w:rPr>
                    <w:t>、因落实政府采购政策进行价格调整的，以调整后的价格计算评标基准价和投标报价,详见《价格扣除》。</w:t>
                  </w:r>
                </w:p>
              </w:tc>
              <w:tc>
                <w:tcPr>
                  <w:tcW w:w="780" w:type="dxa"/>
                  <w:tcBorders>
                    <w:right w:val="single" w:color="auto" w:sz="4" w:space="0"/>
                  </w:tcBorders>
                  <w:vAlign w:val="center"/>
                </w:tcPr>
                <w:p w14:paraId="1EDB360D">
                  <w:pPr>
                    <w:ind w:left="-78" w:leftChars="-37" w:right="-73" w:rightChars="-35"/>
                    <w:jc w:val="center"/>
                    <w:rPr>
                      <w:rFonts w:hint="default"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3</w:t>
                  </w:r>
                </w:p>
              </w:tc>
              <w:tc>
                <w:tcPr>
                  <w:tcW w:w="697" w:type="dxa"/>
                  <w:tcBorders>
                    <w:left w:val="single" w:color="auto" w:sz="4" w:space="0"/>
                  </w:tcBorders>
                  <w:vAlign w:val="center"/>
                </w:tcPr>
                <w:p w14:paraId="2353976D">
                  <w:pPr>
                    <w:ind w:left="-78" w:leftChars="-37" w:right="-73" w:rightChars="-35"/>
                    <w:jc w:val="center"/>
                    <w:rPr>
                      <w:rFonts w:hint="default"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3</w:t>
                  </w:r>
                </w:p>
              </w:tc>
            </w:tr>
            <w:tr w14:paraId="1B339DCF">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71" w:hRule="atLeast"/>
              </w:trPr>
              <w:tc>
                <w:tcPr>
                  <w:tcW w:w="680" w:type="dxa"/>
                  <w:vMerge w:val="continue"/>
                  <w:vAlign w:val="center"/>
                </w:tcPr>
                <w:p w14:paraId="75EE332E">
                  <w:pPr>
                    <w:jc w:val="center"/>
                    <w:rPr>
                      <w:rFonts w:hint="eastAsia" w:ascii="宋体" w:hAnsi="宋体" w:eastAsia="宋体" w:cs="宋体"/>
                      <w:color w:val="auto"/>
                      <w:sz w:val="21"/>
                      <w:szCs w:val="21"/>
                    </w:rPr>
                  </w:pPr>
                </w:p>
              </w:tc>
              <w:tc>
                <w:tcPr>
                  <w:tcW w:w="1355" w:type="dxa"/>
                  <w:vAlign w:val="center"/>
                </w:tcPr>
                <w:p w14:paraId="5D2C8888">
                  <w:pPr>
                    <w:pStyle w:val="478"/>
                    <w:keepNext w:val="0"/>
                    <w:keepLines w:val="0"/>
                    <w:pageBreakBefore w:val="0"/>
                    <w:widowControl w:val="0"/>
                    <w:kinsoku/>
                    <w:wordWrap/>
                    <w:overflowPunct/>
                    <w:topLinePunct w:val="0"/>
                    <w:bidi w:val="0"/>
                    <w:adjustRightInd w:val="0"/>
                    <w:snapToGrid w:val="0"/>
                    <w:spacing w:line="240" w:lineRule="auto"/>
                    <w:ind w:left="0" w:leftChars="0" w:right="0" w:rightChars="0" w:firstLine="0" w:firstLineChars="0"/>
                    <w:jc w:val="center"/>
                    <w:textAlignment w:val="auto"/>
                    <w:rPr>
                      <w:rFonts w:hint="eastAsia" w:ascii="宋体" w:hAnsi="宋体" w:eastAsia="宋体" w:cs="宋体"/>
                      <w:color w:val="auto"/>
                      <w:sz w:val="21"/>
                      <w:szCs w:val="21"/>
                    </w:rPr>
                  </w:pPr>
                  <w:r>
                    <w:rPr>
                      <w:rFonts w:hint="eastAsia" w:ascii="宋体" w:hAnsi="宋体" w:eastAsia="宋体" w:cs="宋体"/>
                      <w:kern w:val="0"/>
                      <w:sz w:val="21"/>
                      <w:szCs w:val="21"/>
                      <w:lang w:val="zh-CN" w:eastAsia="zh-CN" w:bidi="zh-CN"/>
                    </w:rPr>
                    <w:t>一对</w:t>
                  </w:r>
                  <w:r>
                    <w:rPr>
                      <w:rFonts w:hint="eastAsia" w:eastAsia="宋体" w:cs="宋体"/>
                      <w:kern w:val="0"/>
                      <w:sz w:val="21"/>
                      <w:szCs w:val="21"/>
                      <w:lang w:val="zh-CN" w:eastAsia="zh-CN" w:bidi="zh-CN"/>
                    </w:rPr>
                    <w:t>多</w:t>
                  </w:r>
                  <w:r>
                    <w:rPr>
                      <w:rFonts w:hint="eastAsia" w:ascii="宋体" w:hAnsi="宋体" w:eastAsia="宋体" w:cs="宋体"/>
                      <w:kern w:val="0"/>
                      <w:sz w:val="21"/>
                      <w:szCs w:val="21"/>
                      <w:lang w:val="zh-CN" w:eastAsia="zh-CN" w:bidi="zh-CN"/>
                    </w:rPr>
                    <w:t>陪护</w:t>
                  </w:r>
                  <w:r>
                    <w:rPr>
                      <w:rFonts w:hint="eastAsia" w:cs="宋体"/>
                      <w:kern w:val="0"/>
                      <w:sz w:val="21"/>
                      <w:szCs w:val="21"/>
                      <w:lang w:val="en-US" w:eastAsia="zh-CN" w:bidi="zh-CN"/>
                    </w:rPr>
                    <w:t>投标报价</w:t>
                  </w:r>
                </w:p>
              </w:tc>
              <w:tc>
                <w:tcPr>
                  <w:tcW w:w="5635" w:type="dxa"/>
                  <w:vAlign w:val="center"/>
                </w:tcPr>
                <w:p w14:paraId="3F254AC7">
                  <w:pPr>
                    <w:widowControl/>
                    <w:jc w:val="left"/>
                    <w:rPr>
                      <w:rFonts w:hint="eastAsia" w:ascii="宋体" w:hAnsi="宋体" w:eastAsia="宋体" w:cs="宋体"/>
                      <w:b/>
                      <w:bCs/>
                      <w:color w:val="auto"/>
                      <w:kern w:val="0"/>
                      <w:szCs w:val="21"/>
                    </w:rPr>
                  </w:pPr>
                  <w:r>
                    <w:rPr>
                      <w:rFonts w:hint="eastAsia" w:ascii="宋体" w:hAnsi="宋体" w:eastAsia="宋体" w:cs="宋体"/>
                      <w:color w:val="auto"/>
                      <w:kern w:val="0"/>
                      <w:sz w:val="21"/>
                      <w:szCs w:val="21"/>
                    </w:rPr>
                    <w:t>价格分应当采用低价优先法计算，即满足招标文件要求且投标价格最低的投标报价为评标基准价，其价格分为满分。其他投标人的价格分统一按照下列公式计算：</w:t>
                  </w:r>
                </w:p>
                <w:p w14:paraId="46FD9389">
                  <w:pPr>
                    <w:widowControl/>
                    <w:jc w:val="left"/>
                    <w:rPr>
                      <w:rFonts w:hint="eastAsia" w:ascii="宋体" w:hAnsi="宋体" w:eastAsia="宋体" w:cs="宋体"/>
                      <w:color w:val="auto"/>
                      <w:kern w:val="0"/>
                      <w:szCs w:val="21"/>
                      <w:lang w:val="en-US" w:eastAsia="zh-CN"/>
                    </w:rPr>
                  </w:pPr>
                  <w:r>
                    <w:rPr>
                      <w:rFonts w:hint="eastAsia" w:ascii="宋体" w:hAnsi="宋体" w:eastAsia="宋体" w:cs="宋体"/>
                      <w:b/>
                      <w:bCs/>
                      <w:color w:val="auto"/>
                      <w:kern w:val="0"/>
                      <w:szCs w:val="21"/>
                    </w:rPr>
                    <w:t>投标报价得分=(评标基准价／投标报价)×100×权重</w:t>
                  </w:r>
                </w:p>
                <w:p w14:paraId="1B40CF03">
                  <w:pPr>
                    <w:widowControl/>
                    <w:jc w:val="left"/>
                    <w:rPr>
                      <w:rFonts w:hint="eastAsia" w:ascii="宋体" w:hAnsi="宋体" w:eastAsia="宋体" w:cs="宋体"/>
                      <w:bCs/>
                      <w:color w:val="auto"/>
                      <w:sz w:val="21"/>
                      <w:szCs w:val="21"/>
                    </w:rPr>
                  </w:pPr>
                  <w:r>
                    <w:rPr>
                      <w:rFonts w:hint="eastAsia" w:ascii="宋体" w:hAnsi="宋体" w:eastAsia="宋体" w:cs="宋体"/>
                      <w:bCs/>
                      <w:color w:val="auto"/>
                      <w:sz w:val="21"/>
                      <w:szCs w:val="21"/>
                    </w:rPr>
                    <w:t>备注：</w:t>
                  </w:r>
                </w:p>
                <w:p w14:paraId="3FB09139">
                  <w:pPr>
                    <w:widowControl/>
                    <w:jc w:val="left"/>
                    <w:rPr>
                      <w:rFonts w:hint="eastAsia" w:ascii="宋体" w:hAnsi="宋体" w:eastAsia="宋体" w:cs="宋体"/>
                      <w:bCs/>
                      <w:color w:val="auto"/>
                      <w:sz w:val="21"/>
                      <w:szCs w:val="21"/>
                    </w:rPr>
                  </w:pPr>
                  <w:r>
                    <w:rPr>
                      <w:rFonts w:hint="eastAsia" w:ascii="宋体" w:hAnsi="宋体" w:eastAsia="宋体" w:cs="宋体"/>
                      <w:bCs/>
                      <w:color w:val="auto"/>
                      <w:sz w:val="21"/>
                      <w:szCs w:val="21"/>
                    </w:rPr>
                    <w:t>1、投标报价得分四舍五入后，</w:t>
                  </w:r>
                  <w:r>
                    <w:rPr>
                      <w:rFonts w:hint="eastAsia" w:ascii="宋体" w:hAnsi="宋体" w:eastAsia="宋体" w:cs="宋体"/>
                      <w:color w:val="auto"/>
                      <w:sz w:val="21"/>
                      <w:szCs w:val="21"/>
                    </w:rPr>
                    <w:t>小数点后保留两位有效数</w:t>
                  </w:r>
                  <w:r>
                    <w:rPr>
                      <w:rFonts w:hint="eastAsia" w:ascii="宋体" w:hAnsi="宋体" w:eastAsia="宋体" w:cs="宋体"/>
                      <w:bCs/>
                      <w:color w:val="auto"/>
                      <w:sz w:val="21"/>
                      <w:szCs w:val="21"/>
                    </w:rPr>
                    <w:t>。</w:t>
                  </w:r>
                </w:p>
                <w:p w14:paraId="465D17F5">
                  <w:pPr>
                    <w:rPr>
                      <w:rFonts w:hint="eastAsia" w:ascii="宋体" w:hAnsi="宋体" w:eastAsia="宋体" w:cs="宋体"/>
                      <w:color w:val="auto"/>
                      <w:sz w:val="21"/>
                      <w:szCs w:val="21"/>
                    </w:rPr>
                  </w:pPr>
                  <w:r>
                    <w:rPr>
                      <w:rStyle w:val="54"/>
                      <w:rFonts w:hint="eastAsia" w:ascii="宋体" w:hAnsi="宋体" w:eastAsia="宋体" w:cs="宋体"/>
                      <w:color w:val="auto"/>
                      <w:sz w:val="21"/>
                      <w:szCs w:val="21"/>
                      <w:lang w:val="en-US" w:eastAsia="zh-CN"/>
                    </w:rPr>
                    <w:t>2</w:t>
                  </w:r>
                  <w:r>
                    <w:rPr>
                      <w:rStyle w:val="54"/>
                      <w:rFonts w:hint="eastAsia" w:ascii="宋体" w:hAnsi="宋体" w:eastAsia="宋体" w:cs="宋体"/>
                      <w:color w:val="auto"/>
                      <w:sz w:val="21"/>
                      <w:szCs w:val="21"/>
                    </w:rPr>
                    <w:t>、因落实政府采购政策进行价格调整的，以调整后的价格计算评标基准价和投标报价,详见《价格扣除》。</w:t>
                  </w:r>
                </w:p>
              </w:tc>
              <w:tc>
                <w:tcPr>
                  <w:tcW w:w="780" w:type="dxa"/>
                  <w:tcBorders>
                    <w:right w:val="single" w:color="auto" w:sz="4" w:space="0"/>
                  </w:tcBorders>
                  <w:vAlign w:val="center"/>
                </w:tcPr>
                <w:p w14:paraId="69FC94E4">
                  <w:pPr>
                    <w:ind w:left="-78" w:leftChars="-37" w:right="-73" w:rightChars="-35"/>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4</w:t>
                  </w:r>
                </w:p>
              </w:tc>
              <w:tc>
                <w:tcPr>
                  <w:tcW w:w="697" w:type="dxa"/>
                  <w:tcBorders>
                    <w:left w:val="single" w:color="auto" w:sz="4" w:space="0"/>
                  </w:tcBorders>
                  <w:vAlign w:val="center"/>
                </w:tcPr>
                <w:p w14:paraId="67BF89D4">
                  <w:pPr>
                    <w:jc w:val="center"/>
                    <w:rPr>
                      <w:rFonts w:hint="default"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4</w:t>
                  </w:r>
                </w:p>
              </w:tc>
            </w:tr>
            <w:tr w14:paraId="4924C039">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71" w:hRule="atLeast"/>
              </w:trPr>
              <w:tc>
                <w:tcPr>
                  <w:tcW w:w="680" w:type="dxa"/>
                  <w:vMerge w:val="continue"/>
                  <w:vAlign w:val="center"/>
                </w:tcPr>
                <w:p w14:paraId="49B593C5">
                  <w:pPr>
                    <w:jc w:val="center"/>
                    <w:rPr>
                      <w:rFonts w:hint="eastAsia" w:ascii="宋体" w:hAnsi="宋体" w:eastAsia="宋体" w:cs="宋体"/>
                      <w:color w:val="auto"/>
                      <w:sz w:val="21"/>
                      <w:szCs w:val="21"/>
                    </w:rPr>
                  </w:pPr>
                </w:p>
              </w:tc>
              <w:tc>
                <w:tcPr>
                  <w:tcW w:w="1355" w:type="dxa"/>
                  <w:vAlign w:val="center"/>
                </w:tcPr>
                <w:p w14:paraId="4ADEA789">
                  <w:pPr>
                    <w:pStyle w:val="478"/>
                    <w:keepNext w:val="0"/>
                    <w:keepLines w:val="0"/>
                    <w:pageBreakBefore w:val="0"/>
                    <w:widowControl w:val="0"/>
                    <w:kinsoku/>
                    <w:wordWrap/>
                    <w:overflowPunct/>
                    <w:topLinePunct w:val="0"/>
                    <w:bidi w:val="0"/>
                    <w:adjustRightInd w:val="0"/>
                    <w:snapToGrid w:val="0"/>
                    <w:spacing w:line="240" w:lineRule="auto"/>
                    <w:ind w:left="0" w:leftChars="0" w:right="0" w:rightChars="0" w:firstLine="0" w:firstLineChars="0"/>
                    <w:jc w:val="center"/>
                    <w:textAlignment w:val="auto"/>
                    <w:rPr>
                      <w:rFonts w:hint="eastAsia" w:ascii="宋体" w:hAnsi="宋体" w:eastAsia="宋体" w:cs="宋体"/>
                      <w:color w:val="auto"/>
                      <w:sz w:val="21"/>
                      <w:szCs w:val="21"/>
                    </w:rPr>
                  </w:pPr>
                  <w:r>
                    <w:rPr>
                      <w:rFonts w:hint="eastAsia" w:ascii="宋体" w:hAnsi="宋体" w:eastAsia="宋体" w:cs="宋体"/>
                      <w:kern w:val="0"/>
                      <w:sz w:val="21"/>
                      <w:szCs w:val="21"/>
                      <w:lang w:val="zh-CN" w:eastAsia="zh-CN" w:bidi="zh-CN"/>
                    </w:rPr>
                    <w:t>一对一产科陪护</w:t>
                  </w:r>
                  <w:r>
                    <w:rPr>
                      <w:rFonts w:hint="eastAsia" w:cs="宋体"/>
                      <w:kern w:val="0"/>
                      <w:sz w:val="21"/>
                      <w:szCs w:val="21"/>
                      <w:lang w:val="en-US" w:eastAsia="zh-CN" w:bidi="zh-CN"/>
                    </w:rPr>
                    <w:t>投标报价</w:t>
                  </w:r>
                </w:p>
              </w:tc>
              <w:tc>
                <w:tcPr>
                  <w:tcW w:w="5635" w:type="dxa"/>
                  <w:vAlign w:val="center"/>
                </w:tcPr>
                <w:p w14:paraId="3C78704E">
                  <w:pPr>
                    <w:autoSpaceDE w:val="0"/>
                    <w:autoSpaceDN w:val="0"/>
                    <w:adjustRightInd w:val="0"/>
                    <w:snapToGrid w:val="0"/>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价格分应当采用低价优先法计算，即满足招标文件要求且投标价格最低的投标报价为评标基准价，其价格分为满分。其他投标人的价格分统一按照下列公式计算：</w:t>
                  </w:r>
                </w:p>
                <w:p w14:paraId="1E020CB8">
                  <w:pPr>
                    <w:widowControl/>
                    <w:jc w:val="left"/>
                    <w:rPr>
                      <w:rFonts w:hint="eastAsia" w:ascii="宋体" w:hAnsi="宋体" w:eastAsia="宋体" w:cs="宋体"/>
                      <w:color w:val="auto"/>
                      <w:kern w:val="0"/>
                      <w:szCs w:val="21"/>
                      <w:lang w:val="en-US" w:eastAsia="zh-CN"/>
                    </w:rPr>
                  </w:pPr>
                  <w:r>
                    <w:rPr>
                      <w:rFonts w:hint="eastAsia" w:ascii="宋体" w:hAnsi="宋体" w:eastAsia="宋体" w:cs="宋体"/>
                      <w:b/>
                      <w:bCs/>
                      <w:color w:val="auto"/>
                      <w:kern w:val="0"/>
                      <w:szCs w:val="21"/>
                    </w:rPr>
                    <w:t>投标报价得分=(评标基准价／投标报价)×100×权重</w:t>
                  </w:r>
                </w:p>
                <w:p w14:paraId="619D0DC9">
                  <w:pPr>
                    <w:widowControl/>
                    <w:jc w:val="left"/>
                    <w:rPr>
                      <w:rFonts w:hint="eastAsia" w:ascii="宋体" w:hAnsi="宋体" w:eastAsia="宋体" w:cs="宋体"/>
                      <w:bCs/>
                      <w:color w:val="auto"/>
                      <w:sz w:val="21"/>
                      <w:szCs w:val="21"/>
                    </w:rPr>
                  </w:pPr>
                  <w:r>
                    <w:rPr>
                      <w:rFonts w:hint="eastAsia" w:ascii="宋体" w:hAnsi="宋体" w:eastAsia="宋体" w:cs="宋体"/>
                      <w:bCs/>
                      <w:color w:val="auto"/>
                      <w:sz w:val="21"/>
                      <w:szCs w:val="21"/>
                    </w:rPr>
                    <w:t>备注：</w:t>
                  </w:r>
                </w:p>
                <w:p w14:paraId="76201D15">
                  <w:pPr>
                    <w:widowControl/>
                    <w:jc w:val="left"/>
                    <w:rPr>
                      <w:rFonts w:hint="eastAsia" w:ascii="宋体" w:hAnsi="宋体" w:eastAsia="宋体" w:cs="宋体"/>
                      <w:bCs/>
                      <w:color w:val="auto"/>
                      <w:sz w:val="21"/>
                      <w:szCs w:val="21"/>
                    </w:rPr>
                  </w:pPr>
                  <w:r>
                    <w:rPr>
                      <w:rFonts w:hint="eastAsia" w:ascii="宋体" w:hAnsi="宋体" w:eastAsia="宋体" w:cs="宋体"/>
                      <w:bCs/>
                      <w:color w:val="auto"/>
                      <w:sz w:val="21"/>
                      <w:szCs w:val="21"/>
                    </w:rPr>
                    <w:t>1、投标报价得分四舍五入后，</w:t>
                  </w:r>
                  <w:r>
                    <w:rPr>
                      <w:rFonts w:hint="eastAsia" w:ascii="宋体" w:hAnsi="宋体" w:eastAsia="宋体" w:cs="宋体"/>
                      <w:color w:val="auto"/>
                      <w:sz w:val="21"/>
                      <w:szCs w:val="21"/>
                    </w:rPr>
                    <w:t>小数点后保留两位有效数</w:t>
                  </w:r>
                  <w:r>
                    <w:rPr>
                      <w:rFonts w:hint="eastAsia" w:ascii="宋体" w:hAnsi="宋体" w:eastAsia="宋体" w:cs="宋体"/>
                      <w:bCs/>
                      <w:color w:val="auto"/>
                      <w:sz w:val="21"/>
                      <w:szCs w:val="21"/>
                    </w:rPr>
                    <w:t>。</w:t>
                  </w:r>
                </w:p>
                <w:p w14:paraId="207F5DDE">
                  <w:pPr>
                    <w:rPr>
                      <w:rFonts w:hint="eastAsia" w:ascii="宋体" w:hAnsi="宋体" w:eastAsia="宋体" w:cs="宋体"/>
                      <w:color w:val="auto"/>
                      <w:sz w:val="21"/>
                      <w:szCs w:val="21"/>
                    </w:rPr>
                  </w:pPr>
                  <w:r>
                    <w:rPr>
                      <w:rStyle w:val="54"/>
                      <w:rFonts w:hint="eastAsia" w:ascii="宋体" w:hAnsi="宋体" w:eastAsia="宋体" w:cs="宋体"/>
                      <w:color w:val="auto"/>
                      <w:sz w:val="21"/>
                      <w:szCs w:val="21"/>
                      <w:lang w:val="en-US" w:eastAsia="zh-CN"/>
                    </w:rPr>
                    <w:t>2</w:t>
                  </w:r>
                  <w:r>
                    <w:rPr>
                      <w:rStyle w:val="54"/>
                      <w:rFonts w:hint="eastAsia" w:ascii="宋体" w:hAnsi="宋体" w:eastAsia="宋体" w:cs="宋体"/>
                      <w:color w:val="auto"/>
                      <w:sz w:val="21"/>
                      <w:szCs w:val="21"/>
                    </w:rPr>
                    <w:t>、因落实政府采购政策进行价格调整的，以调整后的价格计算评标基准价和投标报价,详见《价格扣除》。</w:t>
                  </w:r>
                </w:p>
              </w:tc>
              <w:tc>
                <w:tcPr>
                  <w:tcW w:w="780" w:type="dxa"/>
                  <w:tcBorders>
                    <w:right w:val="single" w:color="auto" w:sz="4" w:space="0"/>
                  </w:tcBorders>
                  <w:vAlign w:val="center"/>
                </w:tcPr>
                <w:p w14:paraId="3BE13543">
                  <w:pPr>
                    <w:ind w:left="-78" w:leftChars="-37" w:right="-73" w:rightChars="-35"/>
                    <w:jc w:val="center"/>
                    <w:rPr>
                      <w:rFonts w:hint="default"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3</w:t>
                  </w:r>
                </w:p>
              </w:tc>
              <w:tc>
                <w:tcPr>
                  <w:tcW w:w="697" w:type="dxa"/>
                  <w:tcBorders>
                    <w:left w:val="single" w:color="auto" w:sz="4" w:space="0"/>
                  </w:tcBorders>
                  <w:vAlign w:val="center"/>
                </w:tcPr>
                <w:p w14:paraId="51E2966C">
                  <w:pPr>
                    <w:jc w:val="center"/>
                    <w:rPr>
                      <w:rFonts w:hint="default"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3</w:t>
                  </w:r>
                </w:p>
              </w:tc>
            </w:tr>
            <w:tr w14:paraId="7B69F36F">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71" w:hRule="atLeast"/>
              </w:trPr>
              <w:tc>
                <w:tcPr>
                  <w:tcW w:w="680" w:type="dxa"/>
                  <w:vMerge w:val="continue"/>
                  <w:vAlign w:val="center"/>
                </w:tcPr>
                <w:p w14:paraId="58C0F2F7">
                  <w:pPr>
                    <w:jc w:val="center"/>
                    <w:rPr>
                      <w:rFonts w:hint="eastAsia" w:ascii="宋体" w:hAnsi="宋体" w:eastAsia="宋体" w:cs="宋体"/>
                      <w:color w:val="auto"/>
                      <w:sz w:val="21"/>
                      <w:szCs w:val="21"/>
                    </w:rPr>
                  </w:pPr>
                </w:p>
              </w:tc>
              <w:tc>
                <w:tcPr>
                  <w:tcW w:w="1355" w:type="dxa"/>
                  <w:vAlign w:val="center"/>
                </w:tcPr>
                <w:p w14:paraId="23E89081">
                  <w:pPr>
                    <w:pStyle w:val="484"/>
                    <w:keepNext w:val="0"/>
                    <w:keepLines w:val="0"/>
                    <w:pageBreakBefore w:val="0"/>
                    <w:widowControl w:val="0"/>
                    <w:kinsoku/>
                    <w:wordWrap/>
                    <w:overflowPunct/>
                    <w:topLinePunct w:val="0"/>
                    <w:bidi w:val="0"/>
                    <w:adjustRightInd w:val="0"/>
                    <w:snapToGrid w:val="0"/>
                    <w:spacing w:before="0" w:line="240" w:lineRule="auto"/>
                    <w:ind w:left="0" w:leftChars="0" w:right="0" w:rightChars="0" w:firstLine="0" w:firstLineChars="0"/>
                    <w:jc w:val="center"/>
                    <w:textAlignment w:val="auto"/>
                    <w:rPr>
                      <w:rFonts w:hint="eastAsia" w:ascii="宋体" w:hAnsi="宋体" w:eastAsia="宋体" w:cs="宋体"/>
                      <w:color w:val="auto"/>
                      <w:sz w:val="21"/>
                      <w:szCs w:val="21"/>
                    </w:rPr>
                  </w:pPr>
                  <w:r>
                    <w:rPr>
                      <w:rFonts w:hint="eastAsia" w:ascii="宋体" w:hAnsi="宋体" w:eastAsia="宋体" w:cs="宋体"/>
                      <w:kern w:val="0"/>
                      <w:sz w:val="21"/>
                      <w:szCs w:val="21"/>
                      <w:lang w:val="zh-CN" w:eastAsia="zh-CN" w:bidi="zh-CN"/>
                    </w:rPr>
                    <w:t>租床</w:t>
                  </w:r>
                  <w:r>
                    <w:rPr>
                      <w:rFonts w:hint="eastAsia" w:cs="宋体"/>
                      <w:kern w:val="0"/>
                      <w:sz w:val="21"/>
                      <w:szCs w:val="21"/>
                      <w:lang w:val="en-US" w:eastAsia="zh-CN" w:bidi="zh-CN"/>
                    </w:rPr>
                    <w:t>投标报价</w:t>
                  </w:r>
                </w:p>
              </w:tc>
              <w:tc>
                <w:tcPr>
                  <w:tcW w:w="5635" w:type="dxa"/>
                  <w:vAlign w:val="center"/>
                </w:tcPr>
                <w:p w14:paraId="5085F4E0">
                  <w:pPr>
                    <w:autoSpaceDE w:val="0"/>
                    <w:autoSpaceDN w:val="0"/>
                    <w:adjustRightInd w:val="0"/>
                    <w:snapToGrid w:val="0"/>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价格分应当采用低价优先法计算，即满足招标文件要求且投标价格最低的投标报价为评标基准价，其价格分为满分。其他投标人的价格分统一按照下列公式计算：</w:t>
                  </w:r>
                </w:p>
                <w:p w14:paraId="53CCF708">
                  <w:pPr>
                    <w:widowControl/>
                    <w:jc w:val="left"/>
                    <w:rPr>
                      <w:rFonts w:hint="eastAsia" w:ascii="宋体" w:hAnsi="宋体" w:eastAsia="宋体" w:cs="宋体"/>
                      <w:color w:val="auto"/>
                      <w:kern w:val="0"/>
                      <w:szCs w:val="21"/>
                      <w:lang w:val="en-US" w:eastAsia="zh-CN"/>
                    </w:rPr>
                  </w:pPr>
                  <w:r>
                    <w:rPr>
                      <w:rFonts w:hint="eastAsia" w:ascii="宋体" w:hAnsi="宋体" w:eastAsia="宋体" w:cs="宋体"/>
                      <w:b/>
                      <w:bCs/>
                      <w:color w:val="auto"/>
                      <w:kern w:val="0"/>
                      <w:szCs w:val="21"/>
                    </w:rPr>
                    <w:t>投标报价得分=(评标基准价／投标报价)×100×权重</w:t>
                  </w:r>
                </w:p>
                <w:p w14:paraId="5896D71F">
                  <w:pPr>
                    <w:widowControl/>
                    <w:jc w:val="left"/>
                    <w:rPr>
                      <w:rFonts w:hint="eastAsia" w:ascii="宋体" w:hAnsi="宋体" w:eastAsia="宋体" w:cs="宋体"/>
                      <w:bCs/>
                      <w:color w:val="auto"/>
                      <w:sz w:val="21"/>
                      <w:szCs w:val="21"/>
                    </w:rPr>
                  </w:pPr>
                  <w:r>
                    <w:rPr>
                      <w:rFonts w:hint="eastAsia" w:ascii="宋体" w:hAnsi="宋体" w:eastAsia="宋体" w:cs="宋体"/>
                      <w:bCs/>
                      <w:color w:val="auto"/>
                      <w:sz w:val="21"/>
                      <w:szCs w:val="21"/>
                    </w:rPr>
                    <w:t>备注：</w:t>
                  </w:r>
                </w:p>
                <w:p w14:paraId="5164149A">
                  <w:pPr>
                    <w:widowControl/>
                    <w:jc w:val="left"/>
                    <w:rPr>
                      <w:rFonts w:hint="eastAsia" w:ascii="宋体" w:hAnsi="宋体" w:eastAsia="宋体" w:cs="宋体"/>
                      <w:bCs/>
                      <w:color w:val="auto"/>
                      <w:sz w:val="21"/>
                      <w:szCs w:val="21"/>
                    </w:rPr>
                  </w:pPr>
                  <w:r>
                    <w:rPr>
                      <w:rFonts w:hint="eastAsia" w:ascii="宋体" w:hAnsi="宋体" w:eastAsia="宋体" w:cs="宋体"/>
                      <w:bCs/>
                      <w:color w:val="auto"/>
                      <w:sz w:val="21"/>
                      <w:szCs w:val="21"/>
                    </w:rPr>
                    <w:t>1、投标报价得分四舍五入后，</w:t>
                  </w:r>
                  <w:r>
                    <w:rPr>
                      <w:rFonts w:hint="eastAsia" w:ascii="宋体" w:hAnsi="宋体" w:eastAsia="宋体" w:cs="宋体"/>
                      <w:color w:val="auto"/>
                      <w:sz w:val="21"/>
                      <w:szCs w:val="21"/>
                    </w:rPr>
                    <w:t>小数点后保留两位有效数</w:t>
                  </w:r>
                  <w:r>
                    <w:rPr>
                      <w:rFonts w:hint="eastAsia" w:ascii="宋体" w:hAnsi="宋体" w:eastAsia="宋体" w:cs="宋体"/>
                      <w:bCs/>
                      <w:color w:val="auto"/>
                      <w:sz w:val="21"/>
                      <w:szCs w:val="21"/>
                    </w:rPr>
                    <w:t>。</w:t>
                  </w:r>
                </w:p>
                <w:p w14:paraId="2F5B1F77">
                  <w:pPr>
                    <w:rPr>
                      <w:rFonts w:hint="eastAsia" w:ascii="宋体" w:hAnsi="宋体" w:eastAsia="宋体" w:cs="宋体"/>
                      <w:color w:val="auto"/>
                      <w:sz w:val="21"/>
                      <w:szCs w:val="21"/>
                    </w:rPr>
                  </w:pPr>
                  <w:r>
                    <w:rPr>
                      <w:rStyle w:val="54"/>
                      <w:rFonts w:hint="eastAsia" w:ascii="宋体" w:hAnsi="宋体" w:eastAsia="宋体" w:cs="宋体"/>
                      <w:color w:val="auto"/>
                      <w:sz w:val="21"/>
                      <w:szCs w:val="21"/>
                      <w:lang w:val="en-US" w:eastAsia="zh-CN"/>
                    </w:rPr>
                    <w:t>2</w:t>
                  </w:r>
                  <w:r>
                    <w:rPr>
                      <w:rStyle w:val="54"/>
                      <w:rFonts w:hint="eastAsia" w:ascii="宋体" w:hAnsi="宋体" w:eastAsia="宋体" w:cs="宋体"/>
                      <w:color w:val="auto"/>
                      <w:sz w:val="21"/>
                      <w:szCs w:val="21"/>
                    </w:rPr>
                    <w:t>、因落实政府采购政策进行价格调整的，以调整后的价格计算评标基准价和投标报价,详见《价格扣除》。</w:t>
                  </w:r>
                </w:p>
              </w:tc>
              <w:tc>
                <w:tcPr>
                  <w:tcW w:w="780" w:type="dxa"/>
                  <w:tcBorders>
                    <w:right w:val="single" w:color="auto" w:sz="4" w:space="0"/>
                  </w:tcBorders>
                  <w:vAlign w:val="center"/>
                </w:tcPr>
                <w:p w14:paraId="00EFCDD4">
                  <w:pPr>
                    <w:ind w:left="-78" w:leftChars="-37" w:right="-73" w:rightChars="-35"/>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2</w:t>
                  </w:r>
                </w:p>
              </w:tc>
              <w:tc>
                <w:tcPr>
                  <w:tcW w:w="697" w:type="dxa"/>
                  <w:tcBorders>
                    <w:left w:val="single" w:color="auto" w:sz="4" w:space="0"/>
                  </w:tcBorders>
                  <w:vAlign w:val="center"/>
                </w:tcPr>
                <w:p w14:paraId="7D7F614E">
                  <w:pPr>
                    <w:jc w:val="center"/>
                    <w:rPr>
                      <w:rFonts w:hint="default"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2</w:t>
                  </w:r>
                </w:p>
              </w:tc>
            </w:tr>
            <w:tr w14:paraId="497E3C57">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23" w:hRule="atLeast"/>
              </w:trPr>
              <w:tc>
                <w:tcPr>
                  <w:tcW w:w="7670" w:type="dxa"/>
                  <w:gridSpan w:val="3"/>
                  <w:vAlign w:val="center"/>
                </w:tcPr>
                <w:p w14:paraId="592D83C4">
                  <w:pPr>
                    <w:ind w:left="-78" w:leftChars="-37" w:right="-73" w:rightChars="-35"/>
                    <w:jc w:val="center"/>
                    <w:rPr>
                      <w:rFonts w:hint="eastAsia" w:ascii="宋体" w:hAnsi="宋体" w:eastAsia="宋体" w:cs="宋体"/>
                      <w:color w:val="auto"/>
                      <w:sz w:val="21"/>
                      <w:szCs w:val="21"/>
                    </w:rPr>
                  </w:pPr>
                  <w:r>
                    <w:rPr>
                      <w:rFonts w:hint="eastAsia" w:ascii="宋体" w:hAnsi="宋体" w:eastAsia="宋体" w:cs="宋体"/>
                      <w:color w:val="auto"/>
                      <w:sz w:val="21"/>
                      <w:szCs w:val="21"/>
                    </w:rPr>
                    <w:t>合计</w:t>
                  </w:r>
                </w:p>
              </w:tc>
              <w:tc>
                <w:tcPr>
                  <w:tcW w:w="780" w:type="dxa"/>
                  <w:tcBorders>
                    <w:right w:val="single" w:color="auto" w:sz="4" w:space="0"/>
                  </w:tcBorders>
                  <w:vAlign w:val="center"/>
                </w:tcPr>
                <w:p w14:paraId="28CB8F14">
                  <w:pPr>
                    <w:ind w:left="-78" w:leftChars="-37" w:right="-73" w:rightChars="-35"/>
                    <w:jc w:val="center"/>
                    <w:rPr>
                      <w:rFonts w:hint="eastAsia" w:ascii="宋体" w:hAnsi="宋体" w:eastAsia="宋体" w:cs="宋体"/>
                      <w:color w:val="auto"/>
                      <w:sz w:val="21"/>
                      <w:szCs w:val="21"/>
                    </w:rPr>
                  </w:pPr>
                  <w:r>
                    <w:rPr>
                      <w:rFonts w:hint="eastAsia" w:ascii="宋体" w:hAnsi="宋体" w:eastAsia="宋体" w:cs="宋体"/>
                      <w:color w:val="auto"/>
                      <w:sz w:val="21"/>
                      <w:szCs w:val="21"/>
                    </w:rPr>
                    <w:t>100</w:t>
                  </w:r>
                </w:p>
              </w:tc>
              <w:tc>
                <w:tcPr>
                  <w:tcW w:w="697" w:type="dxa"/>
                  <w:tcBorders>
                    <w:left w:val="single" w:color="auto" w:sz="4" w:space="0"/>
                  </w:tcBorders>
                  <w:vAlign w:val="center"/>
                </w:tcPr>
                <w:p w14:paraId="2EF81DB6">
                  <w:pPr>
                    <w:ind w:left="-78" w:leftChars="-37" w:right="-73" w:rightChars="-35"/>
                    <w:jc w:val="center"/>
                    <w:rPr>
                      <w:rFonts w:hint="eastAsia" w:ascii="宋体" w:hAnsi="宋体" w:eastAsia="宋体" w:cs="宋体"/>
                      <w:color w:val="auto"/>
                      <w:sz w:val="21"/>
                      <w:szCs w:val="21"/>
                    </w:rPr>
                  </w:pPr>
                  <w:r>
                    <w:rPr>
                      <w:rFonts w:hint="eastAsia" w:ascii="宋体" w:hAnsi="宋体" w:eastAsia="宋体" w:cs="宋体"/>
                      <w:color w:val="auto"/>
                      <w:sz w:val="21"/>
                      <w:szCs w:val="21"/>
                    </w:rPr>
                    <w:t>100</w:t>
                  </w:r>
                </w:p>
              </w:tc>
            </w:tr>
          </w:tbl>
          <w:p w14:paraId="2BDA0AA1">
            <w:pPr>
              <w:pStyle w:val="479"/>
              <w:keepNext w:val="0"/>
              <w:keepLines w:val="0"/>
              <w:pageBreakBefore w:val="0"/>
              <w:widowControl w:val="0"/>
              <w:kinsoku/>
              <w:wordWrap/>
              <w:overflowPunct/>
              <w:topLinePunct w:val="0"/>
              <w:autoSpaceDE/>
              <w:autoSpaceDN/>
              <w:bidi w:val="0"/>
              <w:adjustRightInd/>
              <w:snapToGrid w:val="0"/>
              <w:spacing w:beforeAutospacing="0" w:afterAutospacing="0" w:line="240" w:lineRule="auto"/>
              <w:ind w:left="0" w:leftChars="0" w:right="0" w:firstLine="0" w:firstLineChars="0"/>
              <w:jc w:val="left"/>
              <w:textAlignment w:val="auto"/>
              <w:outlineLvl w:val="1"/>
              <w:rPr>
                <w:rFonts w:hint="default" w:ascii="Times New Roman" w:hAnsi="Times New Roman" w:eastAsia="宋体" w:cs="Times New Roman"/>
                <w:szCs w:val="21"/>
              </w:rPr>
            </w:pPr>
            <w:r>
              <w:rPr>
                <w:rFonts w:hint="default" w:ascii="Times New Roman" w:hAnsi="Times New Roman" w:eastAsia="宋体" w:cs="Times New Roman"/>
                <w:szCs w:val="21"/>
              </w:rPr>
              <w:t xml:space="preserve"> </w:t>
            </w:r>
          </w:p>
          <w:p w14:paraId="0EA22A9B">
            <w:pPr>
              <w:pStyle w:val="479"/>
              <w:keepNext w:val="0"/>
              <w:keepLines w:val="0"/>
              <w:pageBreakBefore w:val="0"/>
              <w:widowControl w:val="0"/>
              <w:kinsoku/>
              <w:wordWrap/>
              <w:overflowPunct/>
              <w:topLinePunct w:val="0"/>
              <w:autoSpaceDE/>
              <w:autoSpaceDN/>
              <w:bidi w:val="0"/>
              <w:adjustRightInd/>
              <w:snapToGrid w:val="0"/>
              <w:spacing w:beforeAutospacing="0" w:afterAutospacing="0" w:line="240" w:lineRule="auto"/>
              <w:ind w:left="0" w:leftChars="0" w:right="0" w:firstLine="0" w:firstLineChars="0"/>
              <w:jc w:val="left"/>
              <w:textAlignment w:val="auto"/>
              <w:outlineLvl w:val="1"/>
              <w:rPr>
                <w:rFonts w:hint="default" w:ascii="Times New Roman" w:hAnsi="Times New Roman" w:eastAsia="宋体" w:cs="Times New Roman"/>
                <w:szCs w:val="21"/>
              </w:rPr>
            </w:pPr>
          </w:p>
        </w:tc>
      </w:tr>
    </w:tbl>
    <w:p w14:paraId="13847DCA">
      <w:pPr>
        <w:jc w:val="left"/>
        <w:rPr>
          <w:rFonts w:hint="default" w:ascii="Times New Roman" w:hAnsi="Times New Roman" w:eastAsia="宋体" w:cs="Times New Roman"/>
          <w:highlight w:val="none"/>
        </w:rPr>
      </w:pPr>
      <w:r>
        <w:rPr>
          <w:rFonts w:hint="default" w:ascii="Times New Roman" w:hAnsi="Times New Roman" w:eastAsia="宋体" w:cs="Times New Roman"/>
          <w:highlight w:val="none"/>
        </w:rPr>
        <w:t>备注：</w:t>
      </w:r>
    </w:p>
    <w:p w14:paraId="5EB694EF">
      <w:pPr>
        <w:jc w:val="left"/>
        <w:rPr>
          <w:rFonts w:hint="default" w:ascii="Times New Roman" w:hAnsi="Times New Roman" w:cs="Times New Roman"/>
          <w:color w:val="FF0000"/>
          <w:szCs w:val="21"/>
        </w:rPr>
      </w:pPr>
      <w:r>
        <w:rPr>
          <w:rFonts w:hint="default" w:ascii="Times New Roman" w:hAnsi="Times New Roman" w:eastAsia="宋体" w:cs="Times New Roman"/>
          <w:highlight w:val="none"/>
        </w:rPr>
        <w:t>招标文件要求提交的与评价指标体系相关的各类有效资料，投标人如未按要求提交的，该项评分为零分。</w:t>
      </w:r>
      <w:r>
        <w:rPr>
          <w:rFonts w:hint="default" w:ascii="Times New Roman" w:hAnsi="Times New Roman" w:eastAsia="宋体" w:cs="Times New Roman"/>
          <w:highlight w:val="none"/>
        </w:rPr>
        <w:br w:type="page"/>
      </w:r>
      <w:bookmarkStart w:id="3" w:name="_Hlk73564573"/>
      <w:r>
        <w:rPr>
          <w:rFonts w:hint="default" w:ascii="Times New Roman" w:hAnsi="Times New Roman" w:eastAsia="黑体" w:cs="Times New Roman"/>
          <w:b/>
          <w:bCs/>
          <w:color w:val="FF0000"/>
          <w:kern w:val="44"/>
          <w:sz w:val="28"/>
          <w:szCs w:val="44"/>
        </w:rPr>
        <w:t>警示条款</w:t>
      </w:r>
    </w:p>
    <w:p w14:paraId="24724053">
      <w:pPr>
        <w:ind w:firstLine="400" w:firstLineChars="200"/>
        <w:rPr>
          <w:rFonts w:hint="default" w:ascii="Times New Roman" w:hAnsi="Times New Roman" w:cs="Times New Roman"/>
          <w:color w:val="FF0000"/>
          <w:sz w:val="20"/>
          <w:szCs w:val="20"/>
        </w:rPr>
      </w:pPr>
    </w:p>
    <w:p w14:paraId="6BC477A3">
      <w:pPr>
        <w:ind w:firstLine="400" w:firstLineChars="200"/>
        <w:rPr>
          <w:rFonts w:hint="default" w:ascii="Times New Roman" w:hAnsi="Times New Roman" w:cs="Times New Roman"/>
          <w:color w:val="FF0000"/>
          <w:sz w:val="20"/>
          <w:szCs w:val="20"/>
        </w:rPr>
      </w:pPr>
      <w:r>
        <w:rPr>
          <w:rFonts w:hint="default" w:ascii="Times New Roman" w:hAnsi="Times New Roman" w:cs="Times New Roman"/>
          <w:color w:val="FF0000"/>
          <w:sz w:val="20"/>
          <w:szCs w:val="20"/>
        </w:rPr>
        <w:t>一、</w:t>
      </w:r>
      <w:r>
        <w:rPr>
          <w:rFonts w:hint="default" w:ascii="Times New Roman" w:hAnsi="Times New Roman" w:cs="Times New Roman"/>
          <w:b/>
          <w:bCs/>
          <w:color w:val="FF0000"/>
          <w:sz w:val="20"/>
          <w:szCs w:val="20"/>
        </w:rPr>
        <w:t>《深圳经济特区政府采购条例》第五十七条</w:t>
      </w:r>
      <w:r>
        <w:rPr>
          <w:rFonts w:hint="default" w:ascii="Times New Roman" w:hAnsi="Times New Roman" w:cs="Times New Roman"/>
          <w:color w:val="FF0000"/>
          <w:sz w:val="20"/>
          <w:szCs w:val="20"/>
        </w:rPr>
        <w:t xml:space="preserve"> 供应商在政府采购中，有下列行为之一的，一至三年内禁止其参与本市政府采购，并由主管部门记入供应商诚信档案，处以采购金额千分之十以上千分之二十以下的罚款；情节严重的，取消其参与本市政府采购资格，处以采购金额千分之二十以上千分之三十以下的罚款，并由市场监管部门依法吊销其营业执照；给他人造成损失的，依法承担赔偿责任；构成犯罪的，依法追究刑事责任：</w:t>
      </w:r>
    </w:p>
    <w:p w14:paraId="0806F608">
      <w:pPr>
        <w:ind w:firstLine="400" w:firstLineChars="200"/>
        <w:rPr>
          <w:rFonts w:hint="default" w:ascii="Times New Roman" w:hAnsi="Times New Roman" w:cs="Times New Roman"/>
          <w:color w:val="FF0000"/>
          <w:sz w:val="20"/>
          <w:szCs w:val="20"/>
        </w:rPr>
      </w:pPr>
      <w:r>
        <w:rPr>
          <w:rFonts w:hint="default" w:ascii="Times New Roman" w:hAnsi="Times New Roman" w:cs="Times New Roman"/>
          <w:color w:val="FF0000"/>
          <w:sz w:val="20"/>
          <w:szCs w:val="20"/>
        </w:rPr>
        <w:t>（一）在采购活动中应当回避而未回避的；</w:t>
      </w:r>
    </w:p>
    <w:p w14:paraId="26123E62">
      <w:pPr>
        <w:ind w:firstLine="400" w:firstLineChars="200"/>
        <w:rPr>
          <w:rFonts w:hint="default" w:ascii="Times New Roman" w:hAnsi="Times New Roman" w:cs="Times New Roman"/>
          <w:color w:val="FF0000"/>
          <w:sz w:val="20"/>
          <w:szCs w:val="20"/>
        </w:rPr>
      </w:pPr>
      <w:r>
        <w:rPr>
          <w:rFonts w:hint="default" w:ascii="Times New Roman" w:hAnsi="Times New Roman" w:cs="Times New Roman"/>
          <w:color w:val="FF0000"/>
          <w:sz w:val="20"/>
          <w:szCs w:val="20"/>
        </w:rPr>
        <w:t>（二）未按本条例规定签订、履行采购合同，造成严重后果的；</w:t>
      </w:r>
    </w:p>
    <w:p w14:paraId="50399FF1">
      <w:pPr>
        <w:ind w:firstLine="400" w:firstLineChars="200"/>
        <w:rPr>
          <w:rFonts w:hint="default" w:ascii="Times New Roman" w:hAnsi="Times New Roman" w:cs="Times New Roman"/>
          <w:color w:val="FF0000"/>
          <w:sz w:val="20"/>
          <w:szCs w:val="20"/>
        </w:rPr>
      </w:pPr>
      <w:r>
        <w:rPr>
          <w:rFonts w:hint="default" w:ascii="Times New Roman" w:hAnsi="Times New Roman" w:cs="Times New Roman"/>
          <w:color w:val="FF0000"/>
          <w:sz w:val="20"/>
          <w:szCs w:val="20"/>
        </w:rPr>
        <w:t>（三）隐瞒真实情况，提供虚假资料的；</w:t>
      </w:r>
    </w:p>
    <w:p w14:paraId="467A903A">
      <w:pPr>
        <w:ind w:firstLine="400" w:firstLineChars="200"/>
        <w:rPr>
          <w:rFonts w:hint="default" w:ascii="Times New Roman" w:hAnsi="Times New Roman" w:cs="Times New Roman"/>
          <w:color w:val="FF0000"/>
          <w:sz w:val="20"/>
          <w:szCs w:val="20"/>
        </w:rPr>
      </w:pPr>
      <w:r>
        <w:rPr>
          <w:rFonts w:hint="default" w:ascii="Times New Roman" w:hAnsi="Times New Roman" w:cs="Times New Roman"/>
          <w:color w:val="FF0000"/>
          <w:sz w:val="20"/>
          <w:szCs w:val="20"/>
        </w:rPr>
        <w:t>（四）以非法手段排斥其他供应商参与竞争的；</w:t>
      </w:r>
    </w:p>
    <w:p w14:paraId="2DFD6214">
      <w:pPr>
        <w:ind w:firstLine="400" w:firstLineChars="200"/>
        <w:rPr>
          <w:rFonts w:hint="default" w:ascii="Times New Roman" w:hAnsi="Times New Roman" w:cs="Times New Roman"/>
          <w:color w:val="FF0000"/>
          <w:sz w:val="20"/>
          <w:szCs w:val="20"/>
        </w:rPr>
      </w:pPr>
      <w:r>
        <w:rPr>
          <w:rFonts w:hint="default" w:ascii="Times New Roman" w:hAnsi="Times New Roman" w:cs="Times New Roman"/>
          <w:color w:val="FF0000"/>
          <w:sz w:val="20"/>
          <w:szCs w:val="20"/>
        </w:rPr>
        <w:t>（五）与其他采购参加人串通投标的；</w:t>
      </w:r>
    </w:p>
    <w:p w14:paraId="1C12521E">
      <w:pPr>
        <w:ind w:firstLine="400" w:firstLineChars="200"/>
        <w:rPr>
          <w:rFonts w:hint="default" w:ascii="Times New Roman" w:hAnsi="Times New Roman" w:cs="Times New Roman"/>
          <w:color w:val="FF0000"/>
          <w:sz w:val="20"/>
          <w:szCs w:val="20"/>
        </w:rPr>
      </w:pPr>
      <w:r>
        <w:rPr>
          <w:rFonts w:hint="default" w:ascii="Times New Roman" w:hAnsi="Times New Roman" w:cs="Times New Roman"/>
          <w:color w:val="FF0000"/>
          <w:sz w:val="20"/>
          <w:szCs w:val="20"/>
        </w:rPr>
        <w:t>（六）恶意投诉的；</w:t>
      </w:r>
    </w:p>
    <w:p w14:paraId="69C742E2">
      <w:pPr>
        <w:ind w:firstLine="400" w:firstLineChars="200"/>
        <w:rPr>
          <w:rFonts w:hint="default" w:ascii="Times New Roman" w:hAnsi="Times New Roman" w:cs="Times New Roman"/>
          <w:color w:val="FF0000"/>
          <w:sz w:val="20"/>
          <w:szCs w:val="20"/>
        </w:rPr>
      </w:pPr>
      <w:r>
        <w:rPr>
          <w:rFonts w:hint="default" w:ascii="Times New Roman" w:hAnsi="Times New Roman" w:cs="Times New Roman"/>
          <w:color w:val="FF0000"/>
          <w:sz w:val="20"/>
          <w:szCs w:val="20"/>
        </w:rPr>
        <w:t>（七）向采购项目相关人行贿或者提供其他不当利益的；</w:t>
      </w:r>
    </w:p>
    <w:p w14:paraId="556666F5">
      <w:pPr>
        <w:ind w:firstLine="400" w:firstLineChars="200"/>
        <w:rPr>
          <w:rFonts w:hint="default" w:ascii="Times New Roman" w:hAnsi="Times New Roman" w:cs="Times New Roman"/>
          <w:color w:val="FF0000"/>
          <w:sz w:val="20"/>
          <w:szCs w:val="20"/>
        </w:rPr>
      </w:pPr>
      <w:r>
        <w:rPr>
          <w:rFonts w:hint="default" w:ascii="Times New Roman" w:hAnsi="Times New Roman" w:cs="Times New Roman"/>
          <w:color w:val="FF0000"/>
          <w:sz w:val="20"/>
          <w:szCs w:val="20"/>
        </w:rPr>
        <w:t>（八）阻碍、抗拒主管部门监督检查的；</w:t>
      </w:r>
    </w:p>
    <w:p w14:paraId="7E041E67">
      <w:pPr>
        <w:ind w:firstLine="400" w:firstLineChars="200"/>
        <w:rPr>
          <w:rFonts w:hint="default" w:ascii="Times New Roman" w:hAnsi="Times New Roman" w:cs="Times New Roman"/>
          <w:color w:val="FF0000"/>
          <w:sz w:val="20"/>
          <w:szCs w:val="20"/>
        </w:rPr>
      </w:pPr>
      <w:r>
        <w:rPr>
          <w:rFonts w:hint="default" w:ascii="Times New Roman" w:hAnsi="Times New Roman" w:cs="Times New Roman"/>
          <w:color w:val="FF0000"/>
          <w:sz w:val="20"/>
          <w:szCs w:val="20"/>
        </w:rPr>
        <w:t>（九）其他违反本条例规定的行为。</w:t>
      </w:r>
    </w:p>
    <w:p w14:paraId="6E7A45D5">
      <w:pPr>
        <w:ind w:firstLine="402" w:firstLineChars="200"/>
        <w:rPr>
          <w:rFonts w:hint="default" w:ascii="Times New Roman" w:hAnsi="Times New Roman" w:cs="Times New Roman"/>
          <w:color w:val="FF0000"/>
          <w:sz w:val="20"/>
          <w:szCs w:val="20"/>
        </w:rPr>
      </w:pPr>
      <w:r>
        <w:rPr>
          <w:rFonts w:hint="default" w:ascii="Times New Roman" w:hAnsi="Times New Roman" w:cs="Times New Roman"/>
          <w:b/>
          <w:bCs/>
          <w:color w:val="FF0000"/>
          <w:sz w:val="20"/>
          <w:szCs w:val="20"/>
        </w:rPr>
        <w:t>二、《深圳经济特区政府采购条例实施细则》第七十五条 </w:t>
      </w:r>
      <w:r>
        <w:rPr>
          <w:rFonts w:hint="default" w:ascii="Times New Roman" w:hAnsi="Times New Roman" w:cs="Times New Roman"/>
          <w:color w:val="FF0000"/>
          <w:sz w:val="20"/>
          <w:szCs w:val="20"/>
        </w:rPr>
        <w:t>供应商有下列情形的，属于采购条例所称的串通投标行为，按照采购条例第五十七条有关规定处理：（一）投标供应商之间相互约定给予未中标的供应商利益补偿；（二）不同投标供应商的法定代表人、主要经营负责人、项目投标授权代表人、项目负责人、主要技术人员为同一人、属同一单位或者在同一单位缴纳社会保险；（三）不同投标供应商的投标文件由同一单位或者同一人编制，或者由同一人分阶段参与编制的；（四）不同投标供应商的投标文件或部分投标文件相互混装；（五）不同投标供应商的投标文件内容存在非正常一致；（六）由同一单位工作人员为两家以上（含两家）供应商进行同一项投标活动的；（七）主管部门依照法律、法规认定的其他情形。</w:t>
      </w:r>
    </w:p>
    <w:p w14:paraId="010CA379">
      <w:pPr>
        <w:ind w:firstLine="402" w:firstLineChars="200"/>
        <w:rPr>
          <w:rFonts w:hint="default" w:ascii="Times New Roman" w:hAnsi="Times New Roman" w:cs="Times New Roman"/>
          <w:color w:val="FF0000"/>
          <w:sz w:val="20"/>
          <w:szCs w:val="20"/>
        </w:rPr>
      </w:pPr>
      <w:r>
        <w:rPr>
          <w:rFonts w:hint="default" w:ascii="Times New Roman" w:hAnsi="Times New Roman" w:cs="Times New Roman"/>
          <w:b/>
          <w:bCs/>
          <w:color w:val="FF0000"/>
          <w:sz w:val="20"/>
          <w:szCs w:val="20"/>
        </w:rPr>
        <w:t>三、《深圳经济特区政府采购条例实施细则》第七十七条 </w:t>
      </w:r>
      <w:r>
        <w:rPr>
          <w:rFonts w:hint="default" w:ascii="Times New Roman" w:hAnsi="Times New Roman" w:cs="Times New Roman"/>
          <w:color w:val="FF0000"/>
          <w:sz w:val="20"/>
          <w:szCs w:val="20"/>
        </w:rPr>
        <w:t>供应商有下列情形之一的，属于隐瞒真实情况，提供虚假资料，按照采购条例第五十七的有关规定处理：（一）通过转让或者租借等方式从其他单位获取资格或者资质证书投标的；（二）由其他单位或者其他单位负责人在投标供应商编制的投标文件上加盖印章或者签字的；（三）项目负责人或者主要技术人员不是本单位人员的；（四）投标保证金不是从投标供应商基本账户转出的；（五）其他隐瞒真实情况、提供虚假资料的行为。</w:t>
      </w:r>
    </w:p>
    <w:p w14:paraId="38DBE4DA">
      <w:pPr>
        <w:ind w:firstLine="400" w:firstLineChars="200"/>
        <w:rPr>
          <w:rFonts w:hint="default" w:ascii="Times New Roman" w:hAnsi="Times New Roman" w:cs="Times New Roman"/>
          <w:color w:val="FF0000"/>
          <w:sz w:val="20"/>
          <w:szCs w:val="20"/>
        </w:rPr>
      </w:pPr>
      <w:r>
        <w:rPr>
          <w:rFonts w:hint="default" w:ascii="Times New Roman" w:hAnsi="Times New Roman" w:cs="Times New Roman"/>
          <w:color w:val="FF0000"/>
          <w:sz w:val="20"/>
          <w:szCs w:val="20"/>
        </w:rPr>
        <w:t>投标供应商不能提供项目负责人或者主要技术人员的劳动合同、社会保险等劳动关系证明材料的，视为存在前款第（三）项规定的情形。</w:t>
      </w:r>
    </w:p>
    <w:p w14:paraId="038CCEDD">
      <w:pPr>
        <w:ind w:firstLine="400" w:firstLineChars="200"/>
        <w:rPr>
          <w:rFonts w:hint="default" w:ascii="Times New Roman" w:hAnsi="Times New Roman" w:cs="Times New Roman"/>
          <w:color w:val="FF0000"/>
          <w:sz w:val="20"/>
          <w:szCs w:val="20"/>
        </w:rPr>
      </w:pPr>
      <w:r>
        <w:rPr>
          <w:rFonts w:hint="default" w:ascii="Times New Roman" w:hAnsi="Times New Roman" w:cs="Times New Roman"/>
          <w:color w:val="FF0000"/>
          <w:sz w:val="20"/>
          <w:szCs w:val="20"/>
        </w:rPr>
        <w:t>四、请投标供应商阅读《政府采购违法行为风险知悉确认书》（内容详见“投标文件附件（信息不公开部分）”中节点“投标人认为需要加以说明的其他内容（格式自定）”），并经各投标供应商负责人或投标授权代表签字并加盖单位公章后，扫描上传至投标文件一并提交。</w:t>
      </w:r>
    </w:p>
    <w:p w14:paraId="62B0098E">
      <w:pPr>
        <w:ind w:firstLine="400" w:firstLineChars="200"/>
        <w:rPr>
          <w:rFonts w:hint="default" w:ascii="Times New Roman" w:hAnsi="Times New Roman" w:cs="Times New Roman"/>
          <w:color w:val="FF0000"/>
          <w:sz w:val="20"/>
          <w:szCs w:val="20"/>
        </w:rPr>
      </w:pPr>
      <w:r>
        <w:rPr>
          <w:rFonts w:hint="default" w:ascii="Times New Roman" w:hAnsi="Times New Roman" w:cs="Times New Roman"/>
          <w:color w:val="FF0000"/>
          <w:sz w:val="20"/>
          <w:szCs w:val="20"/>
        </w:rPr>
        <w:t>注：该风险知悉确认书用于对供应商违法行为的警示，不作为供应商资格性审查及符合性审查条件。</w:t>
      </w:r>
    </w:p>
    <w:p w14:paraId="32DE1DB3">
      <w:pPr>
        <w:ind w:firstLine="400" w:firstLineChars="200"/>
        <w:rPr>
          <w:rFonts w:hint="default" w:ascii="Times New Roman" w:hAnsi="Times New Roman" w:cs="Times New Roman"/>
          <w:color w:val="FF0000"/>
          <w:sz w:val="20"/>
          <w:szCs w:val="20"/>
        </w:rPr>
      </w:pPr>
      <w:r>
        <w:rPr>
          <w:rFonts w:hint="eastAsia" w:cs="Times New Roman"/>
          <w:color w:val="FF0000"/>
          <w:sz w:val="20"/>
          <w:szCs w:val="20"/>
          <w:lang w:val="en-US" w:eastAsia="zh-CN"/>
        </w:rPr>
        <w:t>五</w:t>
      </w:r>
      <w:r>
        <w:rPr>
          <w:rFonts w:hint="default" w:ascii="Times New Roman" w:hAnsi="Times New Roman" w:cs="Times New Roman"/>
          <w:color w:val="FF0000"/>
          <w:sz w:val="20"/>
          <w:szCs w:val="20"/>
        </w:rPr>
        <w:t>、根据《深圳经济特区政府采购条例实施细则》第七十五条规定，不同投标供应商的投标文件由同一单位或者同一人编制，或者由同一人分阶段参与编制的，或者由同一单位工作人员为两家以上（含两家）供应商进行同一项投标活动的，属于串通投标行为。一经查实，供应商将面临罚款、一定年限内禁止参与政府采购活动的行政处罚。</w:t>
      </w:r>
    </w:p>
    <w:p w14:paraId="6CAB86D2">
      <w:pPr>
        <w:keepNext w:val="0"/>
        <w:keepLines w:val="0"/>
        <w:widowControl/>
        <w:suppressLineNumbers w:val="0"/>
        <w:spacing w:before="0" w:beforeAutospacing="0" w:after="0" w:afterAutospacing="0" w:line="400" w:lineRule="exact"/>
        <w:ind w:left="0" w:right="0" w:firstLine="420" w:firstLineChars="200"/>
        <w:jc w:val="left"/>
        <w:rPr>
          <w:rFonts w:hint="default" w:ascii="Times New Roman" w:hAnsi="Times New Roman" w:cs="Times New Roman"/>
          <w:lang w:val="en-US"/>
        </w:rPr>
      </w:pPr>
    </w:p>
    <w:p w14:paraId="043BE089">
      <w:pPr>
        <w:keepNext w:val="0"/>
        <w:keepLines w:val="0"/>
        <w:widowControl/>
        <w:suppressLineNumbers w:val="0"/>
        <w:spacing w:before="0" w:beforeAutospacing="0" w:after="0" w:afterAutospacing="0" w:line="400" w:lineRule="exact"/>
        <w:ind w:left="0" w:right="0" w:firstLine="400" w:firstLineChars="200"/>
        <w:jc w:val="left"/>
        <w:rPr>
          <w:rFonts w:hint="default" w:ascii="Times New Roman" w:hAnsi="Times New Roman" w:cs="Times New Roman"/>
          <w:color w:val="FF0000"/>
          <w:sz w:val="20"/>
          <w:szCs w:val="20"/>
          <w:lang w:val="en-US"/>
        </w:rPr>
      </w:pPr>
    </w:p>
    <w:bookmarkEnd w:id="3"/>
    <w:p w14:paraId="33A34527">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highlight w:val="none"/>
        </w:rPr>
      </w:pPr>
    </w:p>
    <w:p w14:paraId="3FAF7B3B">
      <w:pPr>
        <w:rPr>
          <w:rFonts w:hint="default" w:ascii="Times New Roman" w:hAnsi="Times New Roman" w:eastAsia="宋体" w:cs="Times New Roman"/>
          <w:b/>
          <w:bCs/>
          <w:sz w:val="40"/>
          <w:szCs w:val="144"/>
          <w:highlight w:val="none"/>
        </w:rPr>
      </w:pPr>
      <w:bookmarkStart w:id="4" w:name="_Hlk72218009"/>
      <w:r>
        <w:rPr>
          <w:rFonts w:hint="default" w:ascii="Times New Roman" w:hAnsi="Times New Roman" w:eastAsia="宋体" w:cs="Times New Roman"/>
          <w:b/>
          <w:bCs/>
          <w:sz w:val="40"/>
          <w:szCs w:val="144"/>
          <w:highlight w:val="none"/>
        </w:rPr>
        <w:br w:type="page"/>
      </w:r>
    </w:p>
    <w:p w14:paraId="1E643CD5">
      <w:pPr>
        <w:pStyle w:val="3"/>
        <w:pageBreakBefore w:val="0"/>
        <w:kinsoku/>
        <w:overflowPunct/>
        <w:topLinePunct w:val="0"/>
        <w:autoSpaceDE/>
        <w:autoSpaceDN/>
        <w:bidi w:val="0"/>
        <w:spacing w:before="0" w:beforeAutospacing="0" w:after="0" w:afterAutospacing="0" w:line="360" w:lineRule="auto"/>
        <w:ind w:left="0" w:leftChars="0" w:right="0" w:firstLine="0" w:firstLineChars="0"/>
        <w:rPr>
          <w:rFonts w:hint="default" w:ascii="Times New Roman" w:hAnsi="Times New Roman" w:eastAsia="宋体" w:cs="Times New Roman"/>
          <w:b/>
          <w:bCs/>
          <w:sz w:val="40"/>
          <w:szCs w:val="144"/>
          <w:highlight w:val="none"/>
        </w:rPr>
      </w:pPr>
      <w:r>
        <w:rPr>
          <w:rFonts w:hint="default" w:ascii="Times New Roman" w:hAnsi="Times New Roman" w:eastAsia="宋体" w:cs="Times New Roman"/>
          <w:b/>
          <w:bCs/>
          <w:sz w:val="40"/>
          <w:szCs w:val="144"/>
          <w:highlight w:val="none"/>
        </w:rPr>
        <w:t>目   录</w:t>
      </w:r>
    </w:p>
    <w:p w14:paraId="5667BAFC">
      <w:pPr>
        <w:pageBreakBefore w:val="0"/>
        <w:kinsoku/>
        <w:overflowPunct/>
        <w:topLinePunct w:val="0"/>
        <w:autoSpaceDE/>
        <w:autoSpaceDN/>
        <w:bidi w:val="0"/>
        <w:spacing w:beforeAutospacing="0" w:afterAutospacing="0" w:line="360" w:lineRule="auto"/>
        <w:ind w:left="0" w:leftChars="0" w:right="0" w:firstLine="0" w:firstLineChars="0"/>
        <w:outlineLvl w:val="0"/>
        <w:rPr>
          <w:rFonts w:hint="default" w:ascii="Times New Roman" w:hAnsi="Times New Roman" w:eastAsia="宋体" w:cs="Times New Roman"/>
          <w:b/>
          <w:sz w:val="24"/>
          <w:highlight w:val="none"/>
        </w:rPr>
      </w:pPr>
      <w:r>
        <w:rPr>
          <w:rFonts w:hint="default" w:ascii="Times New Roman" w:hAnsi="Times New Roman" w:eastAsia="宋体" w:cs="Times New Roman"/>
          <w:b/>
          <w:sz w:val="24"/>
          <w:highlight w:val="none"/>
        </w:rPr>
        <w:t>第一册  专用条款</w:t>
      </w:r>
    </w:p>
    <w:p w14:paraId="7F95E621">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sz w:val="24"/>
          <w:highlight w:val="none"/>
        </w:rPr>
      </w:pPr>
      <w:r>
        <w:rPr>
          <w:rFonts w:hint="default" w:ascii="Times New Roman" w:hAnsi="Times New Roman" w:eastAsia="宋体" w:cs="Times New Roman"/>
          <w:sz w:val="24"/>
          <w:highlight w:val="none"/>
        </w:rPr>
        <w:t>关键信息</w:t>
      </w:r>
    </w:p>
    <w:p w14:paraId="76B30C89">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t>第一章  招标公告</w:t>
      </w:r>
    </w:p>
    <w:p w14:paraId="2049BEA6">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t xml:space="preserve">第二章  </w:t>
      </w:r>
      <w:bookmarkStart w:id="5" w:name="_Hlk71994379"/>
      <w:r>
        <w:rPr>
          <w:rFonts w:hint="default" w:ascii="Times New Roman" w:hAnsi="Times New Roman" w:eastAsia="宋体" w:cs="Times New Roman"/>
          <w:szCs w:val="21"/>
          <w:highlight w:val="none"/>
        </w:rPr>
        <w:t>对通用条款的补充内容及其他关键信息</w:t>
      </w:r>
      <w:bookmarkEnd w:id="5"/>
    </w:p>
    <w:p w14:paraId="1C8CCD4F">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t>第三章  用户需求书</w:t>
      </w:r>
    </w:p>
    <w:p w14:paraId="710B82A1">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t>第四章  投标文件组成要求及格式</w:t>
      </w:r>
    </w:p>
    <w:p w14:paraId="639B9C6B">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t>第五章  合同条款及格式</w:t>
      </w:r>
    </w:p>
    <w:p w14:paraId="07596FDE">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sz w:val="24"/>
          <w:highlight w:val="none"/>
        </w:rPr>
      </w:pPr>
    </w:p>
    <w:p w14:paraId="4045DFD3">
      <w:pPr>
        <w:pageBreakBefore w:val="0"/>
        <w:kinsoku/>
        <w:overflowPunct/>
        <w:topLinePunct w:val="0"/>
        <w:autoSpaceDE/>
        <w:autoSpaceDN/>
        <w:bidi w:val="0"/>
        <w:spacing w:beforeAutospacing="0" w:afterAutospacing="0" w:line="360" w:lineRule="auto"/>
        <w:ind w:left="0" w:leftChars="0" w:right="0" w:firstLine="0" w:firstLineChars="0"/>
        <w:outlineLvl w:val="0"/>
        <w:rPr>
          <w:rFonts w:hint="default" w:ascii="Times New Roman" w:hAnsi="Times New Roman" w:eastAsia="宋体" w:cs="Times New Roman"/>
          <w:b/>
          <w:sz w:val="24"/>
          <w:highlight w:val="none"/>
        </w:rPr>
      </w:pPr>
      <w:r>
        <w:rPr>
          <w:rFonts w:hint="default" w:ascii="Times New Roman" w:hAnsi="Times New Roman" w:eastAsia="宋体" w:cs="Times New Roman"/>
          <w:b/>
          <w:sz w:val="24"/>
          <w:highlight w:val="none"/>
        </w:rPr>
        <w:t>第二册  通用条款</w:t>
      </w:r>
    </w:p>
    <w:p w14:paraId="7C4E2BC8">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t>第一章  总则</w:t>
      </w:r>
    </w:p>
    <w:p w14:paraId="455279C6">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t>第二章  招标文件</w:t>
      </w:r>
    </w:p>
    <w:p w14:paraId="66B99D8C">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t>第三章  投标文件的编制</w:t>
      </w:r>
    </w:p>
    <w:p w14:paraId="3A4D16FE">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t>第四章  投标文件的递交</w:t>
      </w:r>
    </w:p>
    <w:p w14:paraId="554AE1D7">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t>第五章  开标</w:t>
      </w:r>
    </w:p>
    <w:p w14:paraId="13E33045">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t>第六章  评审要求</w:t>
      </w:r>
    </w:p>
    <w:p w14:paraId="2729DD98">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t>第七章  评审程序及评审方法</w:t>
      </w:r>
    </w:p>
    <w:p w14:paraId="4608FA6B">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t>第八章  定标及公示</w:t>
      </w:r>
    </w:p>
    <w:p w14:paraId="02B29A39">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t>第九章  公开招标失败的后续处理</w:t>
      </w:r>
    </w:p>
    <w:p w14:paraId="4076FB0D">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t>第十章  合同的授予与备案</w:t>
      </w:r>
    </w:p>
    <w:p w14:paraId="054B1A41">
      <w:pPr>
        <w:pageBreakBefore w:val="0"/>
        <w:kinsoku/>
        <w:overflowPunct/>
        <w:topLinePunct w:val="0"/>
        <w:autoSpaceDE/>
        <w:autoSpaceDN/>
        <w:bidi w:val="0"/>
        <w:spacing w:beforeAutospacing="0" w:afterAutospacing="0" w:line="360" w:lineRule="auto"/>
        <w:ind w:left="0" w:leftChars="0" w:right="0" w:firstLine="0" w:firstLineChars="0"/>
        <w:outlineLvl w:val="9"/>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t>第十一章  质疑处理</w:t>
      </w:r>
    </w:p>
    <w:bookmarkEnd w:id="4"/>
    <w:p w14:paraId="60CFE351">
      <w:pPr>
        <w:pageBreakBefore w:val="0"/>
        <w:kinsoku/>
        <w:overflowPunct/>
        <w:topLinePunct w:val="0"/>
        <w:autoSpaceDE/>
        <w:autoSpaceDN/>
        <w:bidi w:val="0"/>
        <w:spacing w:line="360" w:lineRule="auto"/>
        <w:ind w:left="0" w:firstLine="0" w:firstLineChars="0"/>
        <w:rPr>
          <w:rFonts w:hint="default" w:ascii="Times New Roman" w:hAnsi="Times New Roman" w:eastAsia="宋体" w:cs="Times New Roman"/>
          <w:highlight w:val="none"/>
        </w:rPr>
      </w:pPr>
      <w:bookmarkStart w:id="6" w:name="合同格式"/>
      <w:bookmarkEnd w:id="6"/>
      <w:bookmarkStart w:id="7" w:name="bt技术标投标文件格式"/>
      <w:bookmarkEnd w:id="7"/>
      <w:bookmarkStart w:id="8" w:name="bt合同格式"/>
      <w:bookmarkEnd w:id="8"/>
      <w:bookmarkStart w:id="9" w:name="bt本工程承诺书"/>
      <w:bookmarkEnd w:id="9"/>
      <w:bookmarkStart w:id="10" w:name="bt商务标投标文件格式"/>
      <w:bookmarkEnd w:id="10"/>
      <w:bookmarkStart w:id="11" w:name="bt说明"/>
      <w:bookmarkEnd w:id="11"/>
      <w:bookmarkStart w:id="12" w:name="bt投标文件签署授权委托书"/>
      <w:bookmarkEnd w:id="12"/>
      <w:bookmarkStart w:id="13" w:name="bt合同条款及格式"/>
      <w:bookmarkEnd w:id="13"/>
      <w:bookmarkStart w:id="14" w:name="bt投标人须知"/>
      <w:bookmarkEnd w:id="14"/>
      <w:bookmarkStart w:id="15" w:name="bt开标一览表"/>
      <w:bookmarkEnd w:id="15"/>
      <w:bookmarkStart w:id="16" w:name="bt投标报价汇总表"/>
      <w:bookmarkEnd w:id="16"/>
      <w:bookmarkStart w:id="17" w:name="bt项目管理班子配备情况"/>
      <w:bookmarkEnd w:id="17"/>
      <w:bookmarkStart w:id="18" w:name="bt投标人情况介绍"/>
      <w:bookmarkEnd w:id="18"/>
      <w:bookmarkStart w:id="19" w:name="bt其他资料由投标人自定"/>
      <w:bookmarkEnd w:id="19"/>
      <w:bookmarkStart w:id="20" w:name="bt其他资料2"/>
      <w:bookmarkEnd w:id="20"/>
      <w:bookmarkStart w:id="21" w:name="bt投标函"/>
      <w:bookmarkEnd w:id="21"/>
      <w:bookmarkStart w:id="22" w:name="bt合同条款"/>
      <w:bookmarkEnd w:id="22"/>
      <w:r>
        <w:rPr>
          <w:rFonts w:hint="default" w:ascii="Times New Roman" w:hAnsi="Times New Roman" w:eastAsia="宋体" w:cs="Times New Roman"/>
          <w:highlight w:val="none"/>
        </w:rPr>
        <w:br w:type="page"/>
      </w:r>
    </w:p>
    <w:p w14:paraId="6E0496D9">
      <w:pPr>
        <w:pStyle w:val="3"/>
        <w:pageBreakBefore w:val="0"/>
        <w:kinsoku/>
        <w:overflowPunct/>
        <w:topLinePunct w:val="0"/>
        <w:autoSpaceDE/>
        <w:autoSpaceDN/>
        <w:bidi w:val="0"/>
        <w:spacing w:before="0" w:beforeAutospacing="0" w:after="0" w:afterAutospacing="0" w:line="360" w:lineRule="auto"/>
        <w:ind w:left="0" w:leftChars="0" w:right="0" w:firstLine="0" w:firstLineChars="0"/>
        <w:rPr>
          <w:rFonts w:hint="default" w:ascii="Times New Roman" w:hAnsi="Times New Roman" w:eastAsia="宋体" w:cs="Times New Roman"/>
          <w:b/>
          <w:bCs/>
          <w:color w:val="FF0000"/>
          <w:sz w:val="44"/>
          <w:highlight w:val="none"/>
        </w:rPr>
      </w:pPr>
      <w:r>
        <w:rPr>
          <w:rFonts w:hint="default" w:ascii="Times New Roman" w:hAnsi="Times New Roman" w:eastAsia="宋体" w:cs="Times New Roman"/>
          <w:b/>
          <w:bCs/>
          <w:sz w:val="44"/>
          <w:highlight w:val="none"/>
        </w:rPr>
        <w:t>第一册  专用条款</w:t>
      </w:r>
    </w:p>
    <w:p w14:paraId="68365801">
      <w:pPr>
        <w:pStyle w:val="4"/>
        <w:pageBreakBefore w:val="0"/>
        <w:kinsoku/>
        <w:overflowPunct/>
        <w:topLinePunct w:val="0"/>
        <w:autoSpaceDE/>
        <w:autoSpaceDN/>
        <w:bidi w:val="0"/>
        <w:spacing w:beforeAutospacing="0" w:afterAutospacing="0" w:line="360" w:lineRule="auto"/>
        <w:ind w:left="0" w:leftChars="0" w:right="0" w:firstLine="0" w:firstLineChars="0"/>
        <w:outlineLvl w:val="1"/>
        <w:rPr>
          <w:rFonts w:hint="default" w:ascii="Times New Roman" w:hAnsi="Times New Roman" w:eastAsia="宋体" w:cs="Times New Roman"/>
          <w:b/>
          <w:bCs/>
          <w:kern w:val="2"/>
          <w:sz w:val="32"/>
          <w:szCs w:val="22"/>
          <w:highlight w:val="none"/>
        </w:rPr>
      </w:pPr>
      <w:r>
        <w:rPr>
          <w:rFonts w:hint="default" w:ascii="Times New Roman" w:hAnsi="Times New Roman" w:eastAsia="宋体" w:cs="Times New Roman"/>
          <w:b/>
          <w:bCs/>
          <w:kern w:val="2"/>
          <w:sz w:val="32"/>
          <w:szCs w:val="22"/>
          <w:highlight w:val="none"/>
        </w:rPr>
        <w:t>第一章  招标公告</w:t>
      </w:r>
    </w:p>
    <w:p w14:paraId="1D5E630D">
      <w:pPr>
        <w:pStyle w:val="8"/>
        <w:pageBreakBefore w:val="0"/>
        <w:numPr>
          <w:ilvl w:val="0"/>
          <w:numId w:val="0"/>
        </w:numPr>
        <w:kinsoku/>
        <w:overflowPunct/>
        <w:topLinePunct w:val="0"/>
        <w:autoSpaceDE/>
        <w:autoSpaceDN/>
        <w:bidi w:val="0"/>
        <w:spacing w:line="360" w:lineRule="auto"/>
        <w:ind w:leftChars="0"/>
        <w:jc w:val="left"/>
        <w:rPr>
          <w:rFonts w:hint="default" w:ascii="Times New Roman" w:hAnsi="Times New Roman" w:eastAsia="宋体" w:cs="Times New Roman"/>
          <w:b/>
          <w:bCs/>
          <w:sz w:val="24"/>
          <w:szCs w:val="24"/>
          <w:highlight w:val="none"/>
        </w:rPr>
      </w:pPr>
      <w:r>
        <w:rPr>
          <w:rFonts w:hint="default" w:ascii="Times New Roman" w:hAnsi="Times New Roman" w:eastAsia="宋体" w:cs="Times New Roman"/>
          <w:b/>
          <w:bCs/>
          <w:sz w:val="24"/>
          <w:szCs w:val="24"/>
          <w:highlight w:val="none"/>
        </w:rPr>
        <w:t>投标人资格要求：</w:t>
      </w:r>
    </w:p>
    <w:tbl>
      <w:tblPr>
        <w:tblStyle w:val="45"/>
        <w:tblW w:w="9272"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20" w:type="dxa"/>
          <w:left w:w="108" w:type="dxa"/>
          <w:bottom w:w="20" w:type="dxa"/>
          <w:right w:w="108" w:type="dxa"/>
        </w:tblCellMar>
      </w:tblPr>
      <w:tblGrid>
        <w:gridCol w:w="794"/>
        <w:gridCol w:w="8478"/>
      </w:tblGrid>
      <w:tr w14:paraId="5E0FAD2B">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20" w:type="dxa"/>
            <w:left w:w="108" w:type="dxa"/>
            <w:bottom w:w="20" w:type="dxa"/>
            <w:right w:w="108" w:type="dxa"/>
          </w:tblCellMar>
        </w:tblPrEx>
        <w:trPr>
          <w:trHeight w:val="324" w:hRule="atLeast"/>
          <w:jc w:val="center"/>
        </w:trPr>
        <w:tc>
          <w:tcPr>
            <w:tcW w:w="794" w:type="dxa"/>
            <w:tcBorders>
              <w:top w:val="single" w:color="000000" w:sz="8" w:space="0"/>
              <w:left w:val="single" w:color="000000" w:sz="8" w:space="0"/>
              <w:bottom w:val="single" w:color="000000" w:sz="8" w:space="0"/>
              <w:right w:val="single" w:color="000000" w:sz="8" w:space="0"/>
            </w:tcBorders>
            <w:shd w:val="clear" w:color="auto" w:fill="E6EFFA"/>
            <w:vAlign w:val="center"/>
          </w:tcPr>
          <w:p w14:paraId="095AEA65">
            <w:pPr>
              <w:pageBreakBefore w:val="0"/>
              <w:widowControl/>
              <w:kinsoku/>
              <w:overflowPunct/>
              <w:topLinePunct w:val="0"/>
              <w:autoSpaceDE/>
              <w:autoSpaceDN/>
              <w:bidi w:val="0"/>
              <w:spacing w:beforeAutospacing="0" w:afterAutospacing="0" w:line="240" w:lineRule="auto"/>
              <w:ind w:left="0" w:leftChars="0" w:right="0" w:firstLine="0" w:firstLineChars="0"/>
              <w:jc w:val="center"/>
              <w:rPr>
                <w:rFonts w:hint="default" w:ascii="Times New Roman" w:hAnsi="Times New Roman" w:eastAsia="宋体" w:cs="Times New Roman"/>
                <w:sz w:val="28"/>
                <w:szCs w:val="28"/>
                <w:highlight w:val="none"/>
              </w:rPr>
            </w:pPr>
            <w:r>
              <w:rPr>
                <w:rFonts w:hint="default" w:ascii="Times New Roman" w:hAnsi="Times New Roman" w:eastAsia="宋体" w:cs="Times New Roman"/>
                <w:kern w:val="0"/>
                <w:sz w:val="28"/>
                <w:szCs w:val="28"/>
                <w:highlight w:val="none"/>
                <w:lang w:bidi="ar"/>
              </w:rPr>
              <w:t>序号</w:t>
            </w:r>
          </w:p>
        </w:tc>
        <w:tc>
          <w:tcPr>
            <w:tcW w:w="8478" w:type="dxa"/>
            <w:tcBorders>
              <w:top w:val="single" w:color="000000" w:sz="8" w:space="0"/>
              <w:left w:val="single" w:color="000000" w:sz="8" w:space="0"/>
              <w:bottom w:val="single" w:color="000000" w:sz="8" w:space="0"/>
              <w:right w:val="single" w:color="000000" w:sz="8" w:space="0"/>
            </w:tcBorders>
            <w:shd w:val="clear" w:color="auto" w:fill="E6EFFA"/>
            <w:vAlign w:val="center"/>
          </w:tcPr>
          <w:p w14:paraId="4F1B82F0">
            <w:pPr>
              <w:pageBreakBefore w:val="0"/>
              <w:widowControl/>
              <w:kinsoku/>
              <w:overflowPunct/>
              <w:topLinePunct w:val="0"/>
              <w:autoSpaceDE/>
              <w:autoSpaceDN/>
              <w:bidi w:val="0"/>
              <w:spacing w:beforeAutospacing="0" w:afterAutospacing="0" w:line="240" w:lineRule="auto"/>
              <w:ind w:left="0" w:leftChars="0" w:right="0" w:firstLine="0" w:firstLineChars="0"/>
              <w:jc w:val="center"/>
              <w:rPr>
                <w:rFonts w:hint="default" w:ascii="Times New Roman" w:hAnsi="Times New Roman" w:eastAsia="宋体" w:cs="Times New Roman"/>
                <w:sz w:val="28"/>
                <w:szCs w:val="28"/>
                <w:highlight w:val="none"/>
              </w:rPr>
            </w:pPr>
            <w:r>
              <w:rPr>
                <w:rFonts w:hint="default" w:ascii="Times New Roman" w:hAnsi="Times New Roman" w:eastAsia="宋体" w:cs="Times New Roman"/>
                <w:kern w:val="0"/>
                <w:sz w:val="28"/>
                <w:szCs w:val="28"/>
                <w:highlight w:val="none"/>
                <w:lang w:bidi="ar"/>
              </w:rPr>
              <w:t>内容</w:t>
            </w:r>
          </w:p>
        </w:tc>
      </w:tr>
      <w:tr w14:paraId="490D8B22">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20" w:type="dxa"/>
            <w:left w:w="108" w:type="dxa"/>
            <w:bottom w:w="20" w:type="dxa"/>
            <w:right w:w="108" w:type="dxa"/>
          </w:tblCellMar>
        </w:tblPrEx>
        <w:trPr>
          <w:trHeight w:val="612" w:hRule="atLeast"/>
          <w:jc w:val="center"/>
        </w:trPr>
        <w:tc>
          <w:tcPr>
            <w:tcW w:w="79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A13C066">
            <w:pPr>
              <w:keepNext w:val="0"/>
              <w:keepLines w:val="0"/>
              <w:pageBreakBefore w:val="0"/>
              <w:widowControl w:val="0"/>
              <w:kinsoku/>
              <w:wordWrap/>
              <w:overflowPunct/>
              <w:topLinePunct w:val="0"/>
              <w:autoSpaceDE/>
              <w:autoSpaceDN/>
              <w:bidi w:val="0"/>
              <w:adjustRightInd/>
              <w:snapToGrid/>
              <w:spacing w:beforeAutospacing="0" w:afterAutospacing="0" w:line="240" w:lineRule="auto"/>
              <w:ind w:left="0" w:leftChars="0" w:right="0" w:rightChars="0" w:firstLine="0" w:firstLineChars="0"/>
              <w:jc w:val="center"/>
              <w:textAlignment w:val="auto"/>
              <w:rPr>
                <w:rFonts w:hint="default" w:ascii="Times New Roman" w:hAnsi="Times New Roman" w:eastAsia="宋体" w:cs="Times New Roman"/>
                <w:szCs w:val="21"/>
                <w:highlight w:val="none"/>
              </w:rPr>
            </w:pPr>
            <w:r>
              <w:rPr>
                <w:rFonts w:hint="default" w:ascii="Times New Roman" w:hAnsi="Times New Roman" w:eastAsia="宋体" w:cs="Times New Roman"/>
                <w:kern w:val="0"/>
                <w:szCs w:val="21"/>
                <w:highlight w:val="none"/>
                <w:vertAlign w:val="baseline"/>
                <w:lang w:val="en-US" w:eastAsia="zh-CN"/>
              </w:rPr>
              <w:t>1</w:t>
            </w:r>
          </w:p>
        </w:tc>
        <w:tc>
          <w:tcPr>
            <w:tcW w:w="8478" w:type="dxa"/>
            <w:tcBorders>
              <w:top w:val="single" w:color="000000" w:sz="8" w:space="0"/>
              <w:left w:val="single" w:color="000000" w:sz="8" w:space="0"/>
              <w:bottom w:val="single" w:color="000000" w:sz="8" w:space="0"/>
              <w:right w:val="single" w:color="000000" w:sz="8" w:space="0"/>
            </w:tcBorders>
            <w:shd w:val="clear" w:color="auto" w:fill="auto"/>
            <w:vAlign w:val="top"/>
          </w:tcPr>
          <w:p w14:paraId="2A901EF6">
            <w:pPr>
              <w:keepNext w:val="0"/>
              <w:keepLines w:val="0"/>
              <w:pageBreakBefore w:val="0"/>
              <w:widowControl w:val="0"/>
              <w:kinsoku/>
              <w:wordWrap/>
              <w:overflowPunct/>
              <w:topLinePunct w:val="0"/>
              <w:autoSpaceDE/>
              <w:autoSpaceDN/>
              <w:bidi w:val="0"/>
              <w:adjustRightInd/>
              <w:snapToGrid/>
              <w:spacing w:beforeAutospacing="0" w:afterAutospacing="0" w:line="240" w:lineRule="auto"/>
              <w:ind w:left="0" w:leftChars="0" w:right="0" w:rightChars="0" w:firstLine="0" w:firstLineChars="0"/>
              <w:textAlignment w:val="auto"/>
              <w:rPr>
                <w:rFonts w:hint="default" w:ascii="Times New Roman" w:hAnsi="Times New Roman" w:eastAsia="宋体" w:cs="Times New Roman"/>
                <w:kern w:val="0"/>
                <w:sz w:val="21"/>
                <w:szCs w:val="21"/>
                <w:highlight w:val="none"/>
                <w:lang w:val="en-US" w:eastAsia="zh-CN" w:bidi="ar-SA"/>
              </w:rPr>
            </w:pPr>
            <w:r>
              <w:rPr>
                <w:rFonts w:hint="eastAsia" w:ascii="Times New Roman" w:hAnsi="Times New Roman" w:eastAsia="宋体" w:cs="Times New Roman"/>
                <w:kern w:val="0"/>
                <w:sz w:val="21"/>
                <w:szCs w:val="21"/>
                <w:highlight w:val="none"/>
                <w:lang w:val="en-US" w:eastAsia="zh-CN" w:bidi="ar-SA"/>
              </w:rPr>
              <w:t>满足《中华人民共和国政府采购法》第二十二条第一款的条件；（由供应商在《政府采购投标及履约承诺函》中作出声明）；</w:t>
            </w:r>
          </w:p>
        </w:tc>
      </w:tr>
      <w:tr w14:paraId="4CAC241E">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20" w:type="dxa"/>
            <w:left w:w="108" w:type="dxa"/>
            <w:bottom w:w="20" w:type="dxa"/>
            <w:right w:w="108" w:type="dxa"/>
          </w:tblCellMar>
        </w:tblPrEx>
        <w:trPr>
          <w:trHeight w:val="90" w:hRule="atLeast"/>
          <w:jc w:val="center"/>
        </w:trPr>
        <w:tc>
          <w:tcPr>
            <w:tcW w:w="79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F10D278">
            <w:pPr>
              <w:keepNext w:val="0"/>
              <w:keepLines w:val="0"/>
              <w:pageBreakBefore w:val="0"/>
              <w:widowControl w:val="0"/>
              <w:kinsoku/>
              <w:wordWrap/>
              <w:overflowPunct/>
              <w:topLinePunct w:val="0"/>
              <w:autoSpaceDE/>
              <w:autoSpaceDN/>
              <w:bidi w:val="0"/>
              <w:adjustRightInd/>
              <w:snapToGrid/>
              <w:spacing w:beforeAutospacing="0" w:afterAutospacing="0" w:line="240" w:lineRule="auto"/>
              <w:ind w:left="0" w:leftChars="0" w:right="0" w:rightChars="0" w:firstLine="0" w:firstLineChars="0"/>
              <w:jc w:val="center"/>
              <w:textAlignment w:val="auto"/>
              <w:rPr>
                <w:rFonts w:hint="default" w:ascii="Times New Roman" w:hAnsi="Times New Roman" w:eastAsia="宋体" w:cs="Times New Roman"/>
                <w:kern w:val="0"/>
                <w:sz w:val="21"/>
                <w:szCs w:val="21"/>
                <w:highlight w:val="none"/>
                <w:lang w:val="en-US" w:eastAsia="zh-CN" w:bidi="ar"/>
              </w:rPr>
            </w:pPr>
            <w:r>
              <w:rPr>
                <w:rFonts w:hint="default" w:ascii="Times New Roman" w:hAnsi="Times New Roman" w:eastAsia="宋体" w:cs="Times New Roman"/>
                <w:kern w:val="0"/>
                <w:szCs w:val="21"/>
                <w:highlight w:val="none"/>
                <w:vertAlign w:val="baseline"/>
                <w:lang w:val="en-US" w:eastAsia="zh-CN"/>
              </w:rPr>
              <w:t>2</w:t>
            </w:r>
          </w:p>
        </w:tc>
        <w:tc>
          <w:tcPr>
            <w:tcW w:w="8478" w:type="dxa"/>
            <w:tcBorders>
              <w:top w:val="single" w:color="000000" w:sz="8" w:space="0"/>
              <w:left w:val="single" w:color="000000" w:sz="8" w:space="0"/>
              <w:bottom w:val="single" w:color="000000" w:sz="8" w:space="0"/>
              <w:right w:val="single" w:color="000000" w:sz="8" w:space="0"/>
            </w:tcBorders>
            <w:shd w:val="clear" w:color="auto" w:fill="auto"/>
            <w:vAlign w:val="top"/>
          </w:tcPr>
          <w:p w14:paraId="481D345A">
            <w:pPr>
              <w:pStyle w:val="40"/>
              <w:spacing w:before="0" w:beforeAutospacing="0" w:after="0" w:afterAutospacing="0" w:line="400" w:lineRule="exact"/>
              <w:rPr>
                <w:rFonts w:hint="default" w:ascii="Times New Roman" w:hAnsi="Times New Roman" w:eastAsia="宋体" w:cs="Times New Roman"/>
                <w:kern w:val="0"/>
                <w:sz w:val="21"/>
                <w:szCs w:val="21"/>
                <w:highlight w:val="none"/>
                <w:lang w:val="en-US" w:eastAsia="zh-CN" w:bidi="ar-SA"/>
              </w:rPr>
            </w:pPr>
            <w:r>
              <w:rPr>
                <w:rFonts w:hint="eastAsia" w:ascii="Times New Roman" w:hAnsi="Times New Roman" w:eastAsia="宋体" w:cs="Times New Roman"/>
                <w:kern w:val="0"/>
                <w:sz w:val="21"/>
                <w:szCs w:val="21"/>
                <w:highlight w:val="none"/>
                <w:lang w:val="en-US" w:eastAsia="zh-CN" w:bidi="ar-SA"/>
              </w:rPr>
              <w:t>落实政府采购政策需满足的资格要求：无；</w:t>
            </w:r>
          </w:p>
        </w:tc>
      </w:tr>
      <w:tr w14:paraId="66699439">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20" w:type="dxa"/>
            <w:left w:w="108" w:type="dxa"/>
            <w:bottom w:w="20" w:type="dxa"/>
            <w:right w:w="108" w:type="dxa"/>
          </w:tblCellMar>
        </w:tblPrEx>
        <w:trPr>
          <w:trHeight w:val="90" w:hRule="atLeast"/>
          <w:jc w:val="center"/>
        </w:trPr>
        <w:tc>
          <w:tcPr>
            <w:tcW w:w="79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287A3EB">
            <w:pPr>
              <w:keepNext w:val="0"/>
              <w:keepLines w:val="0"/>
              <w:pageBreakBefore w:val="0"/>
              <w:widowControl w:val="0"/>
              <w:kinsoku/>
              <w:wordWrap/>
              <w:overflowPunct/>
              <w:topLinePunct w:val="0"/>
              <w:autoSpaceDE/>
              <w:autoSpaceDN/>
              <w:bidi w:val="0"/>
              <w:adjustRightInd/>
              <w:snapToGrid/>
              <w:spacing w:beforeAutospacing="0" w:afterAutospacing="0" w:line="240" w:lineRule="auto"/>
              <w:ind w:left="0" w:leftChars="0" w:right="0" w:rightChars="0" w:firstLine="0" w:firstLineChars="0"/>
              <w:jc w:val="center"/>
              <w:textAlignment w:val="auto"/>
              <w:rPr>
                <w:rFonts w:hint="default" w:ascii="Times New Roman" w:hAnsi="Times New Roman" w:eastAsia="宋体" w:cs="Times New Roman"/>
                <w:kern w:val="0"/>
                <w:sz w:val="21"/>
                <w:szCs w:val="21"/>
                <w:highlight w:val="none"/>
                <w:lang w:val="en-US" w:eastAsia="zh-CN" w:bidi="ar"/>
              </w:rPr>
            </w:pPr>
            <w:r>
              <w:rPr>
                <w:rFonts w:hint="default" w:ascii="Times New Roman" w:hAnsi="Times New Roman" w:eastAsia="宋体" w:cs="Times New Roman"/>
                <w:kern w:val="0"/>
                <w:szCs w:val="21"/>
                <w:highlight w:val="none"/>
                <w:vertAlign w:val="baseline"/>
                <w:lang w:val="en-US" w:eastAsia="zh-CN"/>
              </w:rPr>
              <w:t>3</w:t>
            </w:r>
          </w:p>
        </w:tc>
        <w:tc>
          <w:tcPr>
            <w:tcW w:w="8478" w:type="dxa"/>
            <w:tcBorders>
              <w:top w:val="single" w:color="000000" w:sz="8" w:space="0"/>
              <w:left w:val="single" w:color="000000" w:sz="8" w:space="0"/>
              <w:bottom w:val="single" w:color="000000" w:sz="8" w:space="0"/>
              <w:right w:val="single" w:color="000000" w:sz="8" w:space="0"/>
            </w:tcBorders>
            <w:shd w:val="clear" w:color="auto" w:fill="auto"/>
            <w:vAlign w:val="top"/>
          </w:tcPr>
          <w:p w14:paraId="2AFDE071">
            <w:pPr>
              <w:keepNext w:val="0"/>
              <w:keepLines w:val="0"/>
              <w:pageBreakBefore w:val="0"/>
              <w:widowControl w:val="0"/>
              <w:kinsoku/>
              <w:wordWrap/>
              <w:overflowPunct/>
              <w:topLinePunct w:val="0"/>
              <w:autoSpaceDE/>
              <w:autoSpaceDN/>
              <w:bidi w:val="0"/>
              <w:adjustRightInd/>
              <w:snapToGrid/>
              <w:spacing w:beforeAutospacing="0" w:afterAutospacing="0" w:line="240" w:lineRule="auto"/>
              <w:ind w:left="0" w:leftChars="0" w:right="0" w:rightChars="0" w:firstLine="0" w:firstLineChars="0"/>
              <w:textAlignment w:val="auto"/>
              <w:rPr>
                <w:rFonts w:hint="default" w:ascii="Times New Roman" w:hAnsi="Times New Roman" w:eastAsia="宋体" w:cs="Times New Roman"/>
                <w:kern w:val="0"/>
                <w:szCs w:val="21"/>
                <w:highlight w:val="none"/>
                <w:lang w:val="en-US" w:eastAsia="zh-CN"/>
              </w:rPr>
            </w:pPr>
            <w:r>
              <w:rPr>
                <w:rFonts w:hint="eastAsia" w:ascii="Times New Roman" w:hAnsi="Times New Roman" w:eastAsia="宋体" w:cs="Times New Roman"/>
                <w:kern w:val="0"/>
                <w:szCs w:val="21"/>
                <w:highlight w:val="none"/>
                <w:lang w:val="en-US" w:eastAsia="zh-CN"/>
              </w:rPr>
              <w:t>本项目的特定资格要求：</w:t>
            </w:r>
          </w:p>
        </w:tc>
      </w:tr>
      <w:tr w14:paraId="6A491FEB">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20" w:type="dxa"/>
            <w:left w:w="108" w:type="dxa"/>
            <w:bottom w:w="20" w:type="dxa"/>
            <w:right w:w="108" w:type="dxa"/>
          </w:tblCellMar>
        </w:tblPrEx>
        <w:trPr>
          <w:trHeight w:val="90" w:hRule="atLeast"/>
          <w:jc w:val="center"/>
        </w:trPr>
        <w:tc>
          <w:tcPr>
            <w:tcW w:w="79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02739B0">
            <w:pPr>
              <w:keepNext w:val="0"/>
              <w:keepLines w:val="0"/>
              <w:pageBreakBefore w:val="0"/>
              <w:widowControl w:val="0"/>
              <w:kinsoku/>
              <w:wordWrap/>
              <w:overflowPunct/>
              <w:topLinePunct w:val="0"/>
              <w:autoSpaceDE/>
              <w:autoSpaceDN/>
              <w:bidi w:val="0"/>
              <w:adjustRightInd/>
              <w:snapToGrid/>
              <w:spacing w:beforeAutospacing="0" w:afterAutospacing="0" w:line="240" w:lineRule="auto"/>
              <w:ind w:left="0" w:leftChars="0" w:right="0" w:rightChars="0" w:firstLine="0" w:firstLineChars="0"/>
              <w:jc w:val="center"/>
              <w:textAlignment w:val="auto"/>
              <w:rPr>
                <w:rFonts w:hint="default" w:ascii="Times New Roman" w:hAnsi="Times New Roman" w:eastAsia="宋体" w:cs="Times New Roman"/>
                <w:kern w:val="0"/>
                <w:sz w:val="21"/>
                <w:szCs w:val="21"/>
                <w:highlight w:val="none"/>
                <w:lang w:val="en-US" w:eastAsia="zh-CN" w:bidi="ar"/>
              </w:rPr>
            </w:pPr>
            <w:r>
              <w:rPr>
                <w:rFonts w:hint="eastAsia" w:cs="Times New Roman"/>
                <w:kern w:val="0"/>
                <w:szCs w:val="21"/>
                <w:highlight w:val="none"/>
                <w:vertAlign w:val="baseline"/>
                <w:lang w:val="en-US" w:eastAsia="zh-CN"/>
              </w:rPr>
              <w:t>3.1</w:t>
            </w:r>
          </w:p>
        </w:tc>
        <w:tc>
          <w:tcPr>
            <w:tcW w:w="8478" w:type="dxa"/>
            <w:tcBorders>
              <w:top w:val="single" w:color="000000" w:sz="8" w:space="0"/>
              <w:left w:val="single" w:color="000000" w:sz="8" w:space="0"/>
              <w:bottom w:val="single" w:color="000000" w:sz="8" w:space="0"/>
              <w:right w:val="single" w:color="000000" w:sz="8" w:space="0"/>
            </w:tcBorders>
            <w:shd w:val="clear" w:color="auto" w:fill="auto"/>
            <w:vAlign w:val="top"/>
          </w:tcPr>
          <w:p w14:paraId="0F84AB34">
            <w:pPr>
              <w:keepNext w:val="0"/>
              <w:keepLines w:val="0"/>
              <w:pageBreakBefore w:val="0"/>
              <w:widowControl w:val="0"/>
              <w:kinsoku/>
              <w:wordWrap/>
              <w:overflowPunct/>
              <w:topLinePunct w:val="0"/>
              <w:autoSpaceDE/>
              <w:autoSpaceDN/>
              <w:bidi w:val="0"/>
              <w:adjustRightInd/>
              <w:snapToGrid/>
              <w:spacing w:beforeAutospacing="0" w:afterAutospacing="0" w:line="240" w:lineRule="auto"/>
              <w:ind w:left="0" w:leftChars="0" w:right="0" w:rightChars="0" w:firstLine="0" w:firstLineChars="0"/>
              <w:textAlignment w:val="auto"/>
              <w:rPr>
                <w:rFonts w:hint="default" w:ascii="Times New Roman" w:hAnsi="Times New Roman" w:eastAsia="宋体" w:cs="Times New Roman"/>
                <w:kern w:val="0"/>
                <w:szCs w:val="21"/>
                <w:highlight w:val="none"/>
                <w:lang w:val="en-US" w:eastAsia="zh-CN"/>
              </w:rPr>
            </w:pPr>
            <w:r>
              <w:rPr>
                <w:rFonts w:hint="eastAsia" w:ascii="Times New Roman" w:hAnsi="Times New Roman" w:eastAsia="宋体" w:cs="Times New Roman"/>
                <w:kern w:val="0"/>
                <w:szCs w:val="21"/>
                <w:highlight w:val="none"/>
                <w:lang w:val="en-US" w:eastAsia="zh-CN"/>
              </w:rPr>
              <w:t>具有独立法人资格或是具有独立承担民事责任能力的其它组织（提供营业执照或事业单位法人证书等证明资料复印件，原件备查）</w:t>
            </w:r>
          </w:p>
        </w:tc>
      </w:tr>
      <w:tr w14:paraId="590331E7">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20" w:type="dxa"/>
            <w:left w:w="108" w:type="dxa"/>
            <w:bottom w:w="20" w:type="dxa"/>
            <w:right w:w="108" w:type="dxa"/>
          </w:tblCellMar>
        </w:tblPrEx>
        <w:trPr>
          <w:trHeight w:val="1167" w:hRule="atLeast"/>
          <w:jc w:val="center"/>
        </w:trPr>
        <w:tc>
          <w:tcPr>
            <w:tcW w:w="79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E3E1CA1">
            <w:pPr>
              <w:keepNext w:val="0"/>
              <w:keepLines w:val="0"/>
              <w:pageBreakBefore w:val="0"/>
              <w:widowControl w:val="0"/>
              <w:kinsoku/>
              <w:wordWrap/>
              <w:overflowPunct/>
              <w:topLinePunct w:val="0"/>
              <w:autoSpaceDE/>
              <w:autoSpaceDN/>
              <w:bidi w:val="0"/>
              <w:adjustRightInd/>
              <w:snapToGrid/>
              <w:spacing w:beforeAutospacing="0" w:afterAutospacing="0" w:line="240" w:lineRule="auto"/>
              <w:ind w:left="0" w:leftChars="0" w:right="0" w:rightChars="0" w:firstLine="0" w:firstLineChars="0"/>
              <w:jc w:val="center"/>
              <w:textAlignment w:val="auto"/>
              <w:rPr>
                <w:rFonts w:hint="default" w:ascii="Times New Roman" w:hAnsi="Times New Roman" w:eastAsia="宋体" w:cs="Times New Roman"/>
                <w:kern w:val="0"/>
                <w:sz w:val="21"/>
                <w:szCs w:val="21"/>
                <w:highlight w:val="none"/>
                <w:vertAlign w:val="baseline"/>
                <w:lang w:val="en-US" w:eastAsia="zh-CN" w:bidi="ar-SA"/>
              </w:rPr>
            </w:pPr>
            <w:r>
              <w:rPr>
                <w:rFonts w:hint="eastAsia" w:cs="Times New Roman"/>
                <w:kern w:val="0"/>
                <w:szCs w:val="21"/>
                <w:highlight w:val="none"/>
                <w:vertAlign w:val="baseline"/>
                <w:lang w:val="en-US" w:eastAsia="zh-CN"/>
              </w:rPr>
              <w:t>3.2</w:t>
            </w:r>
          </w:p>
        </w:tc>
        <w:tc>
          <w:tcPr>
            <w:tcW w:w="8478" w:type="dxa"/>
            <w:tcBorders>
              <w:top w:val="single" w:color="000000" w:sz="8" w:space="0"/>
              <w:left w:val="single" w:color="000000" w:sz="8" w:space="0"/>
              <w:bottom w:val="single" w:color="000000" w:sz="8" w:space="0"/>
              <w:right w:val="single" w:color="000000" w:sz="8" w:space="0"/>
            </w:tcBorders>
            <w:shd w:val="clear" w:color="auto" w:fill="auto"/>
            <w:vAlign w:val="top"/>
          </w:tcPr>
          <w:p w14:paraId="7FE806D0">
            <w:pPr>
              <w:keepNext w:val="0"/>
              <w:keepLines w:val="0"/>
              <w:pageBreakBefore w:val="0"/>
              <w:widowControl w:val="0"/>
              <w:kinsoku/>
              <w:wordWrap/>
              <w:overflowPunct/>
              <w:topLinePunct w:val="0"/>
              <w:autoSpaceDE/>
              <w:autoSpaceDN/>
              <w:bidi w:val="0"/>
              <w:adjustRightInd/>
              <w:snapToGrid/>
              <w:spacing w:beforeAutospacing="0" w:afterAutospacing="0" w:line="240" w:lineRule="auto"/>
              <w:ind w:left="0" w:leftChars="0" w:right="0" w:rightChars="0" w:firstLine="0" w:firstLineChars="0"/>
              <w:textAlignment w:val="auto"/>
              <w:rPr>
                <w:rFonts w:hint="default" w:ascii="Times New Roman" w:hAnsi="Times New Roman" w:eastAsia="宋体" w:cs="Times New Roman"/>
                <w:kern w:val="0"/>
                <w:sz w:val="21"/>
                <w:szCs w:val="21"/>
                <w:highlight w:val="none"/>
                <w:lang w:val="en-US" w:eastAsia="zh-CN" w:bidi="ar-SA"/>
              </w:rPr>
            </w:pPr>
            <w:r>
              <w:rPr>
                <w:rFonts w:hint="eastAsia" w:ascii="Times New Roman" w:hAnsi="Times New Roman" w:eastAsia="宋体" w:cs="Times New Roman"/>
                <w:kern w:val="0"/>
                <w:sz w:val="21"/>
                <w:szCs w:val="21"/>
                <w:highlight w:val="none"/>
                <w:lang w:val="en-US" w:eastAsia="zh-CN" w:bidi="ar-SA"/>
              </w:rPr>
              <w:t>投标截止时间前，投标人未被列入失信被执行人、重大税收违法案件当事人名单、政府采购严重违法失信行为记录名单（采购代理机构将通过“信用中国”网站（www.creditchina.gov.cn）、中国政府采购网（www.ccgp.gov.cn）及深圳市政府采购监管网（www.zfcg.sz.gov.cn）渠道查询相关主体信用记录）</w:t>
            </w:r>
          </w:p>
        </w:tc>
      </w:tr>
      <w:tr w14:paraId="2D32ADED">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20" w:type="dxa"/>
            <w:left w:w="108" w:type="dxa"/>
            <w:bottom w:w="20" w:type="dxa"/>
            <w:right w:w="108" w:type="dxa"/>
          </w:tblCellMar>
        </w:tblPrEx>
        <w:trPr>
          <w:trHeight w:val="90" w:hRule="atLeast"/>
          <w:jc w:val="center"/>
        </w:trPr>
        <w:tc>
          <w:tcPr>
            <w:tcW w:w="79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9AB12D8">
            <w:pPr>
              <w:keepNext w:val="0"/>
              <w:keepLines w:val="0"/>
              <w:pageBreakBefore w:val="0"/>
              <w:widowControl w:val="0"/>
              <w:kinsoku/>
              <w:wordWrap/>
              <w:overflowPunct/>
              <w:topLinePunct w:val="0"/>
              <w:autoSpaceDE/>
              <w:autoSpaceDN/>
              <w:bidi w:val="0"/>
              <w:adjustRightInd/>
              <w:snapToGrid/>
              <w:spacing w:beforeAutospacing="0" w:afterAutospacing="0" w:line="240" w:lineRule="auto"/>
              <w:ind w:left="0" w:leftChars="0" w:right="0" w:rightChars="0" w:firstLine="0" w:firstLineChars="0"/>
              <w:jc w:val="center"/>
              <w:textAlignment w:val="auto"/>
              <w:rPr>
                <w:rFonts w:hint="default" w:ascii="Times New Roman" w:hAnsi="Times New Roman" w:eastAsia="宋体" w:cs="Times New Roman"/>
                <w:kern w:val="0"/>
                <w:sz w:val="21"/>
                <w:szCs w:val="21"/>
                <w:highlight w:val="none"/>
                <w:lang w:val="en-US" w:eastAsia="zh-CN" w:bidi="ar"/>
              </w:rPr>
            </w:pPr>
            <w:r>
              <w:rPr>
                <w:rFonts w:hint="eastAsia" w:cs="Times New Roman"/>
                <w:kern w:val="0"/>
                <w:szCs w:val="21"/>
                <w:highlight w:val="none"/>
                <w:vertAlign w:val="baseline"/>
                <w:lang w:val="en-US" w:eastAsia="zh-CN"/>
              </w:rPr>
              <w:t>3.3</w:t>
            </w:r>
          </w:p>
        </w:tc>
        <w:tc>
          <w:tcPr>
            <w:tcW w:w="8478" w:type="dxa"/>
            <w:tcBorders>
              <w:top w:val="single" w:color="000000" w:sz="8" w:space="0"/>
              <w:left w:val="single" w:color="000000" w:sz="8" w:space="0"/>
              <w:bottom w:val="single" w:color="000000" w:sz="8" w:space="0"/>
              <w:right w:val="single" w:color="000000" w:sz="8" w:space="0"/>
            </w:tcBorders>
            <w:shd w:val="clear" w:color="auto" w:fill="auto"/>
            <w:vAlign w:val="top"/>
          </w:tcPr>
          <w:p w14:paraId="605E7F70">
            <w:pPr>
              <w:keepNext w:val="0"/>
              <w:keepLines w:val="0"/>
              <w:pageBreakBefore w:val="0"/>
              <w:widowControl w:val="0"/>
              <w:kinsoku/>
              <w:wordWrap/>
              <w:overflowPunct/>
              <w:topLinePunct w:val="0"/>
              <w:autoSpaceDE/>
              <w:autoSpaceDN/>
              <w:bidi w:val="0"/>
              <w:adjustRightInd/>
              <w:snapToGrid/>
              <w:spacing w:beforeAutospacing="0" w:afterAutospacing="0" w:line="240" w:lineRule="auto"/>
              <w:ind w:left="0" w:leftChars="0" w:right="0" w:rightChars="0" w:firstLine="0" w:firstLineChars="0"/>
              <w:textAlignment w:val="auto"/>
              <w:rPr>
                <w:rFonts w:hint="default" w:ascii="Times New Roman" w:hAnsi="Times New Roman" w:eastAsia="宋体" w:cs="Times New Roman"/>
                <w:kern w:val="0"/>
                <w:sz w:val="21"/>
                <w:szCs w:val="21"/>
                <w:highlight w:val="none"/>
                <w:lang w:val="en-US" w:eastAsia="zh-CN" w:bidi="ar-SA"/>
              </w:rPr>
            </w:pPr>
            <w:r>
              <w:rPr>
                <w:rFonts w:hint="eastAsia" w:ascii="Times New Roman" w:hAnsi="Times New Roman" w:eastAsia="宋体" w:cs="Times New Roman"/>
                <w:kern w:val="0"/>
                <w:sz w:val="21"/>
                <w:szCs w:val="21"/>
                <w:highlight w:val="none"/>
                <w:lang w:val="en-US" w:eastAsia="zh-CN" w:bidi="ar-SA"/>
              </w:rPr>
              <w:t>参与本项目政府采购活动时不存在被有关部门禁止参与政府采购活动且在有效期内的情况（由供应商在《政府采购投标及履约承诺函》中作出声明）；</w:t>
            </w:r>
          </w:p>
        </w:tc>
      </w:tr>
      <w:tr w14:paraId="2E2F7859">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20" w:type="dxa"/>
            <w:left w:w="108" w:type="dxa"/>
            <w:bottom w:w="20" w:type="dxa"/>
            <w:right w:w="108" w:type="dxa"/>
          </w:tblCellMar>
        </w:tblPrEx>
        <w:trPr>
          <w:trHeight w:val="90" w:hRule="atLeast"/>
          <w:jc w:val="center"/>
        </w:trPr>
        <w:tc>
          <w:tcPr>
            <w:tcW w:w="79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AB37613">
            <w:pPr>
              <w:keepNext w:val="0"/>
              <w:keepLines w:val="0"/>
              <w:pageBreakBefore w:val="0"/>
              <w:widowControl w:val="0"/>
              <w:kinsoku/>
              <w:wordWrap/>
              <w:overflowPunct/>
              <w:topLinePunct w:val="0"/>
              <w:autoSpaceDE/>
              <w:autoSpaceDN/>
              <w:bidi w:val="0"/>
              <w:adjustRightInd/>
              <w:snapToGrid/>
              <w:spacing w:beforeAutospacing="0" w:afterAutospacing="0" w:line="240" w:lineRule="auto"/>
              <w:ind w:left="0" w:leftChars="0" w:right="0" w:rightChars="0" w:firstLine="0" w:firstLineChars="0"/>
              <w:jc w:val="center"/>
              <w:textAlignment w:val="auto"/>
              <w:rPr>
                <w:rFonts w:hint="default" w:ascii="Times New Roman" w:hAnsi="Times New Roman" w:eastAsia="宋体" w:cs="Times New Roman"/>
                <w:kern w:val="0"/>
                <w:sz w:val="21"/>
                <w:szCs w:val="21"/>
                <w:highlight w:val="none"/>
                <w:lang w:val="en-US" w:eastAsia="zh-CN" w:bidi="ar"/>
              </w:rPr>
            </w:pPr>
            <w:r>
              <w:rPr>
                <w:rFonts w:hint="eastAsia" w:cs="Times New Roman"/>
                <w:kern w:val="0"/>
                <w:szCs w:val="21"/>
                <w:highlight w:val="none"/>
                <w:vertAlign w:val="baseline"/>
                <w:lang w:val="en-US" w:eastAsia="zh-CN"/>
              </w:rPr>
              <w:t>3.4</w:t>
            </w:r>
          </w:p>
        </w:tc>
        <w:tc>
          <w:tcPr>
            <w:tcW w:w="8478" w:type="dxa"/>
            <w:tcBorders>
              <w:top w:val="single" w:color="000000" w:sz="8" w:space="0"/>
              <w:left w:val="single" w:color="000000" w:sz="8" w:space="0"/>
              <w:bottom w:val="single" w:color="000000" w:sz="8" w:space="0"/>
              <w:right w:val="single" w:color="000000" w:sz="8" w:space="0"/>
            </w:tcBorders>
            <w:shd w:val="clear" w:color="auto" w:fill="auto"/>
            <w:vAlign w:val="top"/>
          </w:tcPr>
          <w:p w14:paraId="73925C4B">
            <w:pPr>
              <w:keepNext w:val="0"/>
              <w:keepLines w:val="0"/>
              <w:pageBreakBefore w:val="0"/>
              <w:widowControl w:val="0"/>
              <w:kinsoku/>
              <w:wordWrap/>
              <w:overflowPunct/>
              <w:topLinePunct w:val="0"/>
              <w:autoSpaceDE/>
              <w:autoSpaceDN/>
              <w:bidi w:val="0"/>
              <w:adjustRightInd/>
              <w:snapToGrid/>
              <w:spacing w:beforeAutospacing="0" w:afterAutospacing="0" w:line="240" w:lineRule="auto"/>
              <w:ind w:left="0" w:leftChars="0" w:right="0" w:rightChars="0" w:firstLine="0" w:firstLineChars="0"/>
              <w:textAlignment w:val="auto"/>
              <w:rPr>
                <w:rFonts w:hint="default" w:ascii="Times New Roman" w:hAnsi="Times New Roman" w:eastAsia="宋体" w:cs="Times New Roman"/>
                <w:kern w:val="0"/>
                <w:sz w:val="21"/>
                <w:szCs w:val="21"/>
                <w:highlight w:val="none"/>
                <w:lang w:val="en-US" w:eastAsia="zh-CN" w:bidi="ar-SA"/>
              </w:rPr>
            </w:pPr>
            <w:r>
              <w:rPr>
                <w:rFonts w:hint="eastAsia" w:ascii="Times New Roman" w:hAnsi="Times New Roman" w:eastAsia="宋体" w:cs="Times New Roman"/>
                <w:kern w:val="0"/>
                <w:sz w:val="21"/>
                <w:szCs w:val="21"/>
                <w:highlight w:val="none"/>
                <w:lang w:val="en-US" w:eastAsia="zh-CN" w:bidi="ar-SA"/>
              </w:rPr>
              <w:t>参与本项目投标前三年内，在经营活动中没有重大违法记录（由供应商在《政府采购投标及履约承诺函》中作出声明）；</w:t>
            </w:r>
          </w:p>
        </w:tc>
      </w:tr>
      <w:tr w14:paraId="5890A23F">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20" w:type="dxa"/>
            <w:left w:w="108" w:type="dxa"/>
            <w:bottom w:w="20" w:type="dxa"/>
            <w:right w:w="108" w:type="dxa"/>
          </w:tblCellMar>
        </w:tblPrEx>
        <w:trPr>
          <w:trHeight w:val="90" w:hRule="atLeast"/>
          <w:jc w:val="center"/>
        </w:trPr>
        <w:tc>
          <w:tcPr>
            <w:tcW w:w="79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44DDE80">
            <w:pPr>
              <w:keepNext w:val="0"/>
              <w:keepLines w:val="0"/>
              <w:pageBreakBefore w:val="0"/>
              <w:widowControl w:val="0"/>
              <w:kinsoku/>
              <w:wordWrap/>
              <w:overflowPunct/>
              <w:topLinePunct w:val="0"/>
              <w:autoSpaceDE/>
              <w:autoSpaceDN/>
              <w:bidi w:val="0"/>
              <w:adjustRightInd/>
              <w:snapToGrid/>
              <w:spacing w:beforeAutospacing="0" w:afterAutospacing="0" w:line="240" w:lineRule="auto"/>
              <w:ind w:left="0" w:leftChars="0" w:right="0" w:rightChars="0" w:firstLine="0" w:firstLineChars="0"/>
              <w:jc w:val="center"/>
              <w:textAlignment w:val="auto"/>
              <w:rPr>
                <w:rFonts w:hint="default" w:cs="Times New Roman"/>
                <w:kern w:val="0"/>
                <w:szCs w:val="21"/>
                <w:highlight w:val="none"/>
                <w:vertAlign w:val="baseline"/>
                <w:lang w:val="en-US" w:eastAsia="zh-CN"/>
              </w:rPr>
            </w:pPr>
            <w:r>
              <w:rPr>
                <w:rFonts w:hint="eastAsia" w:cs="Times New Roman"/>
                <w:kern w:val="0"/>
                <w:szCs w:val="21"/>
                <w:highlight w:val="none"/>
                <w:vertAlign w:val="baseline"/>
                <w:lang w:val="en-US" w:eastAsia="zh-CN"/>
              </w:rPr>
              <w:t>3.5</w:t>
            </w:r>
          </w:p>
        </w:tc>
        <w:tc>
          <w:tcPr>
            <w:tcW w:w="8478" w:type="dxa"/>
            <w:tcBorders>
              <w:top w:val="single" w:color="000000" w:sz="8" w:space="0"/>
              <w:left w:val="single" w:color="000000" w:sz="8" w:space="0"/>
              <w:bottom w:val="single" w:color="000000" w:sz="8" w:space="0"/>
              <w:right w:val="single" w:color="000000" w:sz="8" w:space="0"/>
            </w:tcBorders>
            <w:shd w:val="clear" w:color="auto" w:fill="auto"/>
            <w:vAlign w:val="top"/>
          </w:tcPr>
          <w:p w14:paraId="2CCB999A">
            <w:pPr>
              <w:keepNext w:val="0"/>
              <w:keepLines w:val="0"/>
              <w:pageBreakBefore w:val="0"/>
              <w:widowControl w:val="0"/>
              <w:kinsoku/>
              <w:wordWrap/>
              <w:overflowPunct/>
              <w:topLinePunct w:val="0"/>
              <w:autoSpaceDE/>
              <w:autoSpaceDN/>
              <w:bidi w:val="0"/>
              <w:adjustRightInd/>
              <w:snapToGrid/>
              <w:spacing w:beforeAutospacing="0" w:afterAutospacing="0" w:line="240" w:lineRule="auto"/>
              <w:ind w:left="0" w:leftChars="0" w:right="0" w:rightChars="0" w:firstLine="0" w:firstLineChars="0"/>
              <w:textAlignment w:val="auto"/>
              <w:rPr>
                <w:rFonts w:hint="eastAsia" w:ascii="Times New Roman" w:hAnsi="Times New Roman" w:eastAsia="宋体" w:cs="Times New Roman"/>
                <w:kern w:val="0"/>
                <w:sz w:val="21"/>
                <w:szCs w:val="21"/>
                <w:highlight w:val="none"/>
                <w:lang w:val="en-US" w:eastAsia="zh-CN" w:bidi="ar-SA"/>
              </w:rPr>
            </w:pPr>
            <w:r>
              <w:rPr>
                <w:rFonts w:hint="eastAsia" w:ascii="Times New Roman" w:hAnsi="Times New Roman" w:eastAsia="宋体" w:cs="Times New Roman"/>
                <w:kern w:val="0"/>
                <w:sz w:val="21"/>
                <w:szCs w:val="21"/>
                <w:highlight w:val="none"/>
                <w:lang w:val="en-US" w:eastAsia="zh-CN" w:bidi="ar-SA"/>
              </w:rPr>
              <w:t>本项目不接受联合体投标，不允许分包、转包。</w:t>
            </w:r>
          </w:p>
        </w:tc>
      </w:tr>
      <w:tr w14:paraId="4251792A">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20" w:type="dxa"/>
            <w:left w:w="108" w:type="dxa"/>
            <w:bottom w:w="20" w:type="dxa"/>
            <w:right w:w="108" w:type="dxa"/>
          </w:tblCellMar>
        </w:tblPrEx>
        <w:trPr>
          <w:trHeight w:val="90" w:hRule="atLeast"/>
          <w:jc w:val="center"/>
        </w:trPr>
        <w:tc>
          <w:tcPr>
            <w:tcW w:w="79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B9BDA91">
            <w:pPr>
              <w:keepNext w:val="0"/>
              <w:keepLines w:val="0"/>
              <w:pageBreakBefore w:val="0"/>
              <w:widowControl w:val="0"/>
              <w:kinsoku/>
              <w:wordWrap/>
              <w:overflowPunct/>
              <w:topLinePunct w:val="0"/>
              <w:autoSpaceDE/>
              <w:autoSpaceDN/>
              <w:bidi w:val="0"/>
              <w:adjustRightInd/>
              <w:snapToGrid/>
              <w:spacing w:beforeAutospacing="0" w:afterAutospacing="0" w:line="240" w:lineRule="auto"/>
              <w:ind w:left="0" w:leftChars="0" w:right="0" w:rightChars="0" w:firstLine="0" w:firstLineChars="0"/>
              <w:jc w:val="center"/>
              <w:textAlignment w:val="auto"/>
              <w:rPr>
                <w:rFonts w:hint="default" w:cs="Times New Roman"/>
                <w:kern w:val="0"/>
                <w:szCs w:val="21"/>
                <w:highlight w:val="none"/>
                <w:vertAlign w:val="baseline"/>
                <w:lang w:val="en-US" w:eastAsia="zh-CN"/>
              </w:rPr>
            </w:pPr>
            <w:r>
              <w:rPr>
                <w:rFonts w:hint="eastAsia" w:cs="Times New Roman"/>
                <w:kern w:val="0"/>
                <w:szCs w:val="21"/>
                <w:highlight w:val="none"/>
                <w:vertAlign w:val="baseline"/>
                <w:lang w:val="en-US" w:eastAsia="zh-CN"/>
              </w:rPr>
              <w:t>3.6</w:t>
            </w:r>
          </w:p>
        </w:tc>
        <w:tc>
          <w:tcPr>
            <w:tcW w:w="8478" w:type="dxa"/>
            <w:tcBorders>
              <w:top w:val="single" w:color="000000" w:sz="8" w:space="0"/>
              <w:left w:val="single" w:color="000000" w:sz="8" w:space="0"/>
              <w:bottom w:val="single" w:color="000000" w:sz="8" w:space="0"/>
              <w:right w:val="single" w:color="000000" w:sz="8" w:space="0"/>
            </w:tcBorders>
            <w:shd w:val="clear" w:color="auto" w:fill="auto"/>
            <w:vAlign w:val="top"/>
          </w:tcPr>
          <w:p w14:paraId="44877561">
            <w:pPr>
              <w:keepNext w:val="0"/>
              <w:keepLines w:val="0"/>
              <w:pageBreakBefore w:val="0"/>
              <w:widowControl w:val="0"/>
              <w:kinsoku/>
              <w:wordWrap/>
              <w:overflowPunct/>
              <w:topLinePunct w:val="0"/>
              <w:autoSpaceDE/>
              <w:autoSpaceDN/>
              <w:bidi w:val="0"/>
              <w:adjustRightInd/>
              <w:snapToGrid/>
              <w:spacing w:beforeAutospacing="0" w:afterAutospacing="0" w:line="240" w:lineRule="auto"/>
              <w:ind w:left="0" w:leftChars="0" w:right="0" w:rightChars="0" w:firstLine="0" w:firstLineChars="0"/>
              <w:textAlignment w:val="auto"/>
              <w:rPr>
                <w:rFonts w:hint="eastAsia" w:ascii="Times New Roman" w:hAnsi="Times New Roman" w:eastAsia="宋体" w:cs="Times New Roman"/>
                <w:kern w:val="0"/>
                <w:sz w:val="21"/>
                <w:szCs w:val="21"/>
                <w:highlight w:val="none"/>
                <w:lang w:val="en-US" w:eastAsia="zh-CN" w:bidi="ar-SA"/>
              </w:rPr>
            </w:pPr>
            <w:r>
              <w:rPr>
                <w:rFonts w:hint="eastAsia" w:ascii="Times New Roman" w:hAnsi="Times New Roman" w:eastAsia="宋体" w:cs="Times New Roman"/>
                <w:kern w:val="0"/>
                <w:sz w:val="21"/>
                <w:szCs w:val="21"/>
                <w:highlight w:val="none"/>
                <w:lang w:val="en-US" w:eastAsia="zh-CN" w:bidi="ar-SA"/>
              </w:rPr>
              <w:t>不同供应商的法定代表人、主要经营负责人、项目投标授权代表人、项目负责人、主要技术人员不得为同一人、属同一单位或者在同一单位缴纳社会保险；不同投标供应商的投标文件不得由同一单位或者同一人编制；单位负责人为同一人或者存在直接控股、管理关系的不同供应商，不得参加本项目政府采购活动。提供《供应商基本情况表》及相关人员近3个月内的任意一个月社保缴交凭证证明（由供应商填写《供应商基本情况表》相关信息）。</w:t>
            </w:r>
          </w:p>
        </w:tc>
      </w:tr>
    </w:tbl>
    <w:p w14:paraId="08F9E141">
      <w:pPr>
        <w:pStyle w:val="8"/>
        <w:pageBreakBefore w:val="0"/>
        <w:numPr>
          <w:ilvl w:val="0"/>
          <w:numId w:val="0"/>
        </w:numPr>
        <w:kinsoku/>
        <w:overflowPunct/>
        <w:topLinePunct w:val="0"/>
        <w:autoSpaceDE/>
        <w:autoSpaceDN/>
        <w:bidi w:val="0"/>
        <w:spacing w:line="360" w:lineRule="auto"/>
        <w:ind w:leftChars="0"/>
        <w:jc w:val="left"/>
        <w:rPr>
          <w:rFonts w:hint="default" w:ascii="Times New Roman" w:hAnsi="Times New Roman" w:eastAsia="宋体" w:cs="Times New Roman"/>
          <w:kern w:val="0"/>
          <w:sz w:val="21"/>
          <w:szCs w:val="21"/>
          <w:highlight w:val="none"/>
          <w:lang w:val="en-US" w:eastAsia="zh-CN" w:bidi="ar-SA"/>
        </w:rPr>
      </w:pPr>
    </w:p>
    <w:p w14:paraId="7A43ED04">
      <w:pPr>
        <w:pStyle w:val="8"/>
        <w:pageBreakBefore w:val="0"/>
        <w:numPr>
          <w:ilvl w:val="0"/>
          <w:numId w:val="0"/>
        </w:numPr>
        <w:kinsoku/>
        <w:overflowPunct/>
        <w:topLinePunct w:val="0"/>
        <w:autoSpaceDE/>
        <w:autoSpaceDN/>
        <w:bidi w:val="0"/>
        <w:spacing w:line="360" w:lineRule="auto"/>
        <w:ind w:leftChars="0"/>
        <w:jc w:val="left"/>
        <w:rPr>
          <w:rFonts w:hint="default" w:ascii="Times New Roman" w:hAnsi="Times New Roman" w:eastAsia="宋体" w:cs="Times New Roman"/>
          <w:kern w:val="0"/>
          <w:sz w:val="21"/>
          <w:szCs w:val="21"/>
          <w:highlight w:val="none"/>
          <w:lang w:val="en-US" w:eastAsia="zh-CN" w:bidi="ar-SA"/>
        </w:rPr>
      </w:pPr>
      <w:r>
        <w:rPr>
          <w:rFonts w:hint="default" w:ascii="Times New Roman" w:hAnsi="Times New Roman" w:eastAsia="宋体" w:cs="Times New Roman"/>
          <w:kern w:val="0"/>
          <w:sz w:val="21"/>
          <w:szCs w:val="21"/>
          <w:highlight w:val="none"/>
          <w:lang w:val="en-US" w:eastAsia="zh-CN" w:bidi="ar-SA"/>
        </w:rPr>
        <w:t>注：（1）“信用中国”、“中国政府采购网”、“深圳信用网”以及“深圳市政府采购监管网”为供应商信用信息的查询渠道，相关信息以开标当日的查询结果为准；</w:t>
      </w:r>
    </w:p>
    <w:p w14:paraId="475761E3">
      <w:pPr>
        <w:pStyle w:val="8"/>
        <w:pageBreakBefore w:val="0"/>
        <w:numPr>
          <w:ilvl w:val="0"/>
          <w:numId w:val="0"/>
        </w:numPr>
        <w:kinsoku/>
        <w:overflowPunct/>
        <w:topLinePunct w:val="0"/>
        <w:autoSpaceDE/>
        <w:autoSpaceDN/>
        <w:bidi w:val="0"/>
        <w:spacing w:line="360" w:lineRule="auto"/>
        <w:ind w:leftChars="0"/>
        <w:jc w:val="left"/>
        <w:rPr>
          <w:rFonts w:hint="default" w:ascii="Times New Roman" w:hAnsi="Times New Roman" w:eastAsia="宋体" w:cs="Times New Roman"/>
          <w:sz w:val="24"/>
          <w:szCs w:val="24"/>
          <w:highlight w:val="none"/>
        </w:rPr>
      </w:pPr>
      <w:r>
        <w:rPr>
          <w:rStyle w:val="53"/>
          <w:rFonts w:hint="default" w:ascii="Times New Roman" w:hAnsi="Times New Roman" w:eastAsia="宋体" w:cs="Times New Roman"/>
          <w:color w:val="auto"/>
          <w:sz w:val="24"/>
          <w:szCs w:val="24"/>
          <w:highlight w:val="none"/>
        </w:rPr>
        <w:br w:type="page"/>
      </w:r>
    </w:p>
    <w:p w14:paraId="6E2002A6">
      <w:pPr>
        <w:pStyle w:val="4"/>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bCs/>
          <w:kern w:val="2"/>
          <w:sz w:val="32"/>
          <w:szCs w:val="22"/>
          <w:highlight w:val="none"/>
        </w:rPr>
      </w:pPr>
      <w:r>
        <w:rPr>
          <w:rFonts w:hint="default" w:ascii="Times New Roman" w:hAnsi="Times New Roman" w:eastAsia="宋体" w:cs="Times New Roman"/>
          <w:b/>
          <w:bCs/>
          <w:kern w:val="2"/>
          <w:sz w:val="32"/>
          <w:szCs w:val="22"/>
          <w:highlight w:val="none"/>
        </w:rPr>
        <w:t xml:space="preserve">第二章 </w:t>
      </w:r>
      <w:bookmarkStart w:id="23" w:name="_Hlk71926094"/>
      <w:r>
        <w:rPr>
          <w:rFonts w:hint="default" w:ascii="Times New Roman" w:hAnsi="Times New Roman" w:eastAsia="宋体" w:cs="Times New Roman"/>
          <w:b/>
          <w:bCs/>
          <w:kern w:val="2"/>
          <w:sz w:val="32"/>
          <w:szCs w:val="22"/>
          <w:highlight w:val="none"/>
        </w:rPr>
        <w:t>对通用条款的补充内容及其他关键信息</w:t>
      </w:r>
      <w:bookmarkEnd w:id="23"/>
    </w:p>
    <w:p w14:paraId="2CE19D68">
      <w:pPr>
        <w:pStyle w:val="5"/>
        <w:pageBreakBefore w:val="0"/>
        <w:kinsoku/>
        <w:overflowPunct/>
        <w:topLinePunct w:val="0"/>
        <w:autoSpaceDE/>
        <w:autoSpaceDN/>
        <w:bidi w:val="0"/>
        <w:spacing w:beforeAutospacing="0" w:afterAutospacing="0" w:line="360" w:lineRule="auto"/>
        <w:ind w:left="0" w:leftChars="0" w:right="0" w:firstLine="0" w:firstLineChars="0"/>
        <w:jc w:val="center"/>
        <w:outlineLvl w:val="2"/>
        <w:rPr>
          <w:rFonts w:hint="default" w:ascii="Times New Roman" w:hAnsi="Times New Roman" w:eastAsia="宋体" w:cs="Times New Roman"/>
          <w:szCs w:val="24"/>
          <w:highlight w:val="none"/>
        </w:rPr>
      </w:pPr>
      <w:bookmarkStart w:id="24" w:name="_Toc100052364"/>
      <w:bookmarkStart w:id="25" w:name="_Toc60631620"/>
      <w:bookmarkStart w:id="26" w:name="_Toc60560625"/>
      <w:bookmarkStart w:id="27" w:name="_Toc73521635"/>
      <w:bookmarkStart w:id="28" w:name="_Toc73521547"/>
      <w:bookmarkStart w:id="29" w:name="_Toc73518117"/>
      <w:bookmarkStart w:id="30" w:name="_Toc73517639"/>
      <w:bookmarkStart w:id="31" w:name="_Toc101074876"/>
      <w:r>
        <w:rPr>
          <w:rFonts w:hint="default" w:ascii="Times New Roman" w:hAnsi="Times New Roman" w:eastAsia="宋体" w:cs="Times New Roman"/>
          <w:szCs w:val="24"/>
          <w:highlight w:val="none"/>
        </w:rPr>
        <w:t>一、对通用条款的补充内容</w:t>
      </w:r>
    </w:p>
    <w:bookmarkEnd w:id="24"/>
    <w:bookmarkEnd w:id="25"/>
    <w:bookmarkEnd w:id="26"/>
    <w:bookmarkEnd w:id="27"/>
    <w:bookmarkEnd w:id="28"/>
    <w:bookmarkEnd w:id="29"/>
    <w:bookmarkEnd w:id="30"/>
    <w:bookmarkEnd w:id="31"/>
    <w:tbl>
      <w:tblPr>
        <w:tblStyle w:val="45"/>
        <w:tblW w:w="8367" w:type="dxa"/>
        <w:jc w:val="center"/>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978"/>
        <w:gridCol w:w="1650"/>
        <w:gridCol w:w="5739"/>
      </w:tblGrid>
      <w:tr w14:paraId="78098F02">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cantSplit/>
          <w:trHeight w:val="20" w:hRule="atLeast"/>
          <w:jc w:val="center"/>
        </w:trPr>
        <w:tc>
          <w:tcPr>
            <w:tcW w:w="978" w:type="dxa"/>
            <w:vAlign w:val="center"/>
          </w:tcPr>
          <w:p w14:paraId="2BBDD702">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
                <w:bCs/>
                <w:highlight w:val="none"/>
              </w:rPr>
            </w:pPr>
            <w:bookmarkStart w:id="32" w:name="_Hlk72218097"/>
            <w:r>
              <w:rPr>
                <w:rFonts w:hint="default" w:ascii="Times New Roman" w:hAnsi="Times New Roman" w:eastAsia="宋体" w:cs="Times New Roman"/>
                <w:b/>
                <w:bCs/>
                <w:highlight w:val="none"/>
              </w:rPr>
              <w:t>通用条款序号</w:t>
            </w:r>
          </w:p>
        </w:tc>
        <w:tc>
          <w:tcPr>
            <w:tcW w:w="1650" w:type="dxa"/>
            <w:vAlign w:val="center"/>
          </w:tcPr>
          <w:p w14:paraId="554091B3">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
                <w:bCs/>
                <w:highlight w:val="none"/>
              </w:rPr>
            </w:pPr>
            <w:r>
              <w:rPr>
                <w:rFonts w:hint="default" w:ascii="Times New Roman" w:hAnsi="Times New Roman" w:eastAsia="宋体" w:cs="Times New Roman"/>
                <w:b/>
                <w:bCs/>
                <w:highlight w:val="none"/>
              </w:rPr>
              <w:t>涉及事项</w:t>
            </w:r>
          </w:p>
        </w:tc>
        <w:tc>
          <w:tcPr>
            <w:tcW w:w="5739" w:type="dxa"/>
            <w:vAlign w:val="center"/>
          </w:tcPr>
          <w:p w14:paraId="653AA689">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
                <w:bCs/>
                <w:highlight w:val="none"/>
              </w:rPr>
            </w:pPr>
            <w:r>
              <w:rPr>
                <w:rFonts w:hint="default" w:ascii="Times New Roman" w:hAnsi="Times New Roman" w:eastAsia="宋体" w:cs="Times New Roman"/>
                <w:b/>
                <w:bCs/>
                <w:highlight w:val="none"/>
              </w:rPr>
              <w:t>具  体  补  充  内  容</w:t>
            </w:r>
          </w:p>
        </w:tc>
      </w:tr>
      <w:tr w14:paraId="5D3FEC9B">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cantSplit/>
          <w:trHeight w:val="20" w:hRule="atLeast"/>
          <w:jc w:val="center"/>
        </w:trPr>
        <w:tc>
          <w:tcPr>
            <w:tcW w:w="978" w:type="dxa"/>
            <w:vAlign w:val="center"/>
          </w:tcPr>
          <w:p w14:paraId="4C943EC8">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highlight w:val="none"/>
              </w:rPr>
            </w:pPr>
            <w:r>
              <w:rPr>
                <w:rFonts w:hint="default" w:ascii="Times New Roman" w:hAnsi="Times New Roman" w:eastAsia="宋体" w:cs="Times New Roman"/>
                <w:highlight w:val="none"/>
              </w:rPr>
              <w:t>3.1</w:t>
            </w:r>
          </w:p>
        </w:tc>
        <w:tc>
          <w:tcPr>
            <w:tcW w:w="1650" w:type="dxa"/>
            <w:vAlign w:val="center"/>
          </w:tcPr>
          <w:p w14:paraId="4F2C7530">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highlight w:val="none"/>
              </w:rPr>
            </w:pPr>
            <w:r>
              <w:rPr>
                <w:rFonts w:hint="default" w:ascii="Times New Roman" w:hAnsi="Times New Roman" w:eastAsia="宋体" w:cs="Times New Roman"/>
                <w:highlight w:val="none"/>
              </w:rPr>
              <w:t>采购人</w:t>
            </w:r>
          </w:p>
        </w:tc>
        <w:tc>
          <w:tcPr>
            <w:tcW w:w="5739" w:type="dxa"/>
            <w:vAlign w:val="center"/>
          </w:tcPr>
          <w:p w14:paraId="2C8BC9AA">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highlight w:val="none"/>
              </w:rPr>
            </w:pPr>
            <w:r>
              <w:rPr>
                <w:rFonts w:hint="eastAsia" w:cs="Times New Roman"/>
                <w:highlight w:val="none"/>
                <w:lang w:val="en-US" w:eastAsia="zh-CN"/>
              </w:rPr>
              <w:t>深圳市龙华区中心医院</w:t>
            </w:r>
          </w:p>
        </w:tc>
      </w:tr>
      <w:tr w14:paraId="0059AB37">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cantSplit/>
          <w:trHeight w:val="20" w:hRule="atLeast"/>
          <w:jc w:val="center"/>
        </w:trPr>
        <w:tc>
          <w:tcPr>
            <w:tcW w:w="978" w:type="dxa"/>
            <w:vAlign w:val="center"/>
          </w:tcPr>
          <w:p w14:paraId="25505129">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highlight w:val="none"/>
              </w:rPr>
            </w:pPr>
            <w:r>
              <w:rPr>
                <w:rFonts w:hint="default" w:ascii="Times New Roman" w:hAnsi="Times New Roman" w:eastAsia="宋体" w:cs="Times New Roman"/>
                <w:highlight w:val="none"/>
              </w:rPr>
              <w:t>3.2</w:t>
            </w:r>
          </w:p>
        </w:tc>
        <w:tc>
          <w:tcPr>
            <w:tcW w:w="1650" w:type="dxa"/>
            <w:vAlign w:val="center"/>
          </w:tcPr>
          <w:p w14:paraId="07796E68">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highlight w:val="none"/>
              </w:rPr>
            </w:pPr>
            <w:r>
              <w:rPr>
                <w:rFonts w:hint="default" w:ascii="Times New Roman" w:hAnsi="Times New Roman" w:eastAsia="宋体" w:cs="Times New Roman"/>
                <w:highlight w:val="none"/>
              </w:rPr>
              <w:t>采购机构</w:t>
            </w:r>
          </w:p>
        </w:tc>
        <w:tc>
          <w:tcPr>
            <w:tcW w:w="5739" w:type="dxa"/>
            <w:vAlign w:val="center"/>
          </w:tcPr>
          <w:p w14:paraId="3EF466C2">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highlight w:val="none"/>
              </w:rPr>
            </w:pPr>
            <w:r>
              <w:rPr>
                <w:rFonts w:hint="eastAsia" w:cs="Times New Roman"/>
                <w:highlight w:val="none"/>
                <w:lang w:eastAsia="zh-CN"/>
              </w:rPr>
              <w:t xml:space="preserve"> 深圳信德招标服务有限公司</w:t>
            </w:r>
          </w:p>
        </w:tc>
      </w:tr>
      <w:tr w14:paraId="7471BEFC">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cantSplit/>
          <w:trHeight w:val="20" w:hRule="atLeast"/>
          <w:jc w:val="center"/>
        </w:trPr>
        <w:tc>
          <w:tcPr>
            <w:tcW w:w="978" w:type="dxa"/>
            <w:vAlign w:val="center"/>
          </w:tcPr>
          <w:p w14:paraId="326120C0">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highlight w:val="none"/>
              </w:rPr>
            </w:pPr>
            <w:r>
              <w:rPr>
                <w:rFonts w:hint="default" w:ascii="Times New Roman" w:hAnsi="Times New Roman" w:eastAsia="宋体" w:cs="Times New Roman"/>
                <w:highlight w:val="none"/>
              </w:rPr>
              <w:t>5.3</w:t>
            </w:r>
          </w:p>
        </w:tc>
        <w:tc>
          <w:tcPr>
            <w:tcW w:w="1650" w:type="dxa"/>
            <w:vAlign w:val="center"/>
          </w:tcPr>
          <w:p w14:paraId="5B73EC1B">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highlight w:val="none"/>
              </w:rPr>
            </w:pPr>
            <w:r>
              <w:rPr>
                <w:rFonts w:hint="default" w:ascii="Times New Roman" w:hAnsi="Times New Roman" w:eastAsia="宋体" w:cs="Times New Roman"/>
                <w:highlight w:val="none"/>
              </w:rPr>
              <w:t>联合体投标</w:t>
            </w:r>
          </w:p>
        </w:tc>
        <w:tc>
          <w:tcPr>
            <w:tcW w:w="5739" w:type="dxa"/>
            <w:vAlign w:val="center"/>
          </w:tcPr>
          <w:p w14:paraId="010C3DEB">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highlight w:val="none"/>
                <w:lang w:val="en-US"/>
              </w:rPr>
            </w:pPr>
            <w:r>
              <w:rPr>
                <w:rFonts w:hint="default" w:ascii="Times New Roman" w:hAnsi="Times New Roman" w:eastAsia="宋体" w:cs="Times New Roman"/>
                <w:highlight w:val="none"/>
                <w:lang w:eastAsia="zh-CN"/>
              </w:rPr>
              <w:t>不接受</w:t>
            </w:r>
          </w:p>
        </w:tc>
      </w:tr>
      <w:tr w14:paraId="456E22B9">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cantSplit/>
          <w:trHeight w:val="20" w:hRule="atLeast"/>
          <w:jc w:val="center"/>
        </w:trPr>
        <w:tc>
          <w:tcPr>
            <w:tcW w:w="978" w:type="dxa"/>
            <w:vAlign w:val="center"/>
          </w:tcPr>
          <w:p w14:paraId="6F50E52D">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highlight w:val="none"/>
              </w:rPr>
            </w:pPr>
            <w:r>
              <w:rPr>
                <w:rFonts w:hint="default" w:ascii="Times New Roman" w:hAnsi="Times New Roman" w:eastAsia="宋体" w:cs="Times New Roman"/>
                <w:highlight w:val="none"/>
              </w:rPr>
              <w:t>9</w:t>
            </w:r>
          </w:p>
        </w:tc>
        <w:tc>
          <w:tcPr>
            <w:tcW w:w="1650" w:type="dxa"/>
            <w:vAlign w:val="center"/>
          </w:tcPr>
          <w:p w14:paraId="7F9B0E60">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highlight w:val="none"/>
              </w:rPr>
            </w:pPr>
            <w:r>
              <w:rPr>
                <w:rFonts w:hint="default" w:ascii="Times New Roman" w:hAnsi="Times New Roman" w:eastAsia="宋体" w:cs="Times New Roman"/>
                <w:highlight w:val="none"/>
              </w:rPr>
              <w:t>踏勘现场</w:t>
            </w:r>
          </w:p>
        </w:tc>
        <w:tc>
          <w:tcPr>
            <w:tcW w:w="5739" w:type="dxa"/>
            <w:vAlign w:val="center"/>
          </w:tcPr>
          <w:p w14:paraId="6A63EB02">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highlight w:val="none"/>
                <w:lang w:eastAsia="zh-CN"/>
              </w:rPr>
            </w:pPr>
            <w:r>
              <w:rPr>
                <w:rFonts w:hint="default" w:ascii="Times New Roman" w:hAnsi="Times New Roman" w:eastAsia="宋体" w:cs="Times New Roman"/>
                <w:highlight w:val="none"/>
                <w:lang w:eastAsia="zh-CN"/>
              </w:rPr>
              <w:t>不组织</w:t>
            </w:r>
          </w:p>
        </w:tc>
      </w:tr>
      <w:tr w14:paraId="3D05F4ED">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cantSplit/>
          <w:trHeight w:val="20" w:hRule="atLeast"/>
          <w:jc w:val="center"/>
        </w:trPr>
        <w:tc>
          <w:tcPr>
            <w:tcW w:w="978" w:type="dxa"/>
            <w:vAlign w:val="center"/>
          </w:tcPr>
          <w:p w14:paraId="1EEA55D4">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highlight w:val="none"/>
              </w:rPr>
            </w:pPr>
            <w:r>
              <w:rPr>
                <w:rFonts w:hint="default" w:ascii="Times New Roman" w:hAnsi="Times New Roman" w:eastAsia="宋体" w:cs="Times New Roman"/>
                <w:highlight w:val="none"/>
              </w:rPr>
              <w:t>10</w:t>
            </w:r>
          </w:p>
        </w:tc>
        <w:tc>
          <w:tcPr>
            <w:tcW w:w="1650" w:type="dxa"/>
            <w:vAlign w:val="center"/>
          </w:tcPr>
          <w:p w14:paraId="604A26BD">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highlight w:val="none"/>
              </w:rPr>
            </w:pPr>
            <w:r>
              <w:rPr>
                <w:rFonts w:hint="default" w:ascii="Times New Roman" w:hAnsi="Times New Roman" w:eastAsia="宋体" w:cs="Times New Roman"/>
                <w:highlight w:val="none"/>
              </w:rPr>
              <w:t>标前会议</w:t>
            </w:r>
          </w:p>
        </w:tc>
        <w:tc>
          <w:tcPr>
            <w:tcW w:w="5739" w:type="dxa"/>
            <w:vAlign w:val="center"/>
          </w:tcPr>
          <w:p w14:paraId="34CC5BFC">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highlight w:val="none"/>
                <w:lang w:eastAsia="zh-CN"/>
              </w:rPr>
            </w:pPr>
            <w:r>
              <w:rPr>
                <w:rFonts w:hint="default" w:ascii="Times New Roman" w:hAnsi="Times New Roman" w:eastAsia="宋体" w:cs="Times New Roman"/>
                <w:highlight w:val="none"/>
                <w:lang w:eastAsia="zh-CN"/>
              </w:rPr>
              <w:t>不组织</w:t>
            </w:r>
          </w:p>
        </w:tc>
      </w:tr>
      <w:tr w14:paraId="2D4C60E1">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cantSplit/>
          <w:trHeight w:val="20" w:hRule="atLeast"/>
          <w:jc w:val="center"/>
        </w:trPr>
        <w:tc>
          <w:tcPr>
            <w:tcW w:w="978" w:type="dxa"/>
            <w:vAlign w:val="center"/>
          </w:tcPr>
          <w:p w14:paraId="2E928B9A">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highlight w:val="none"/>
              </w:rPr>
            </w:pPr>
            <w:r>
              <w:rPr>
                <w:rFonts w:hint="default" w:ascii="Times New Roman" w:hAnsi="Times New Roman" w:eastAsia="宋体" w:cs="Times New Roman"/>
                <w:highlight w:val="none"/>
              </w:rPr>
              <w:t>12/13</w:t>
            </w:r>
          </w:p>
        </w:tc>
        <w:tc>
          <w:tcPr>
            <w:tcW w:w="1650" w:type="dxa"/>
            <w:vAlign w:val="center"/>
          </w:tcPr>
          <w:p w14:paraId="49D3C5CB">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highlight w:val="none"/>
              </w:rPr>
            </w:pPr>
            <w:r>
              <w:rPr>
                <w:rFonts w:hint="default" w:ascii="Times New Roman" w:hAnsi="Times New Roman" w:eastAsia="宋体" w:cs="Times New Roman"/>
                <w:highlight w:val="none"/>
              </w:rPr>
              <w:t>招标文件的澄清和修改</w:t>
            </w:r>
          </w:p>
        </w:tc>
        <w:tc>
          <w:tcPr>
            <w:tcW w:w="5739" w:type="dxa"/>
            <w:vAlign w:val="center"/>
          </w:tcPr>
          <w:p w14:paraId="03FF94FD">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highlight w:val="none"/>
                <w:lang w:val="en-US" w:eastAsia="zh-CN"/>
              </w:rPr>
            </w:pPr>
            <w:r>
              <w:rPr>
                <w:rFonts w:hint="default" w:ascii="Times New Roman" w:hAnsi="Times New Roman" w:eastAsia="宋体" w:cs="Times New Roman"/>
                <w:highlight w:val="none"/>
                <w:lang w:eastAsia="zh-CN"/>
              </w:rPr>
              <w:t>不晚于投标截止日三日前，投标人有义务在招标期间在</w:t>
            </w:r>
            <w:r>
              <w:rPr>
                <w:rFonts w:hint="default" w:ascii="Times New Roman" w:hAnsi="Times New Roman" w:cs="Times New Roman"/>
                <w:highlight w:val="none"/>
                <w:lang w:eastAsia="zh-CN"/>
              </w:rPr>
              <w:t>招标代理机构</w:t>
            </w:r>
            <w:r>
              <w:rPr>
                <w:rFonts w:hint="default" w:ascii="Times New Roman" w:hAnsi="Times New Roman" w:eastAsia="宋体" w:cs="Times New Roman"/>
                <w:highlight w:val="none"/>
                <w:lang w:eastAsia="zh-CN"/>
              </w:rPr>
              <w:t>网站浏览与本项目有关的澄清和修改信息。</w:t>
            </w:r>
          </w:p>
        </w:tc>
      </w:tr>
      <w:tr w14:paraId="08F11B14">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cantSplit/>
          <w:trHeight w:val="20" w:hRule="atLeast"/>
          <w:jc w:val="center"/>
        </w:trPr>
        <w:tc>
          <w:tcPr>
            <w:tcW w:w="978" w:type="dxa"/>
            <w:vAlign w:val="center"/>
          </w:tcPr>
          <w:p w14:paraId="204EDC5F">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highlight w:val="none"/>
              </w:rPr>
            </w:pPr>
            <w:r>
              <w:rPr>
                <w:rFonts w:hint="default" w:ascii="Times New Roman" w:hAnsi="Times New Roman" w:eastAsia="宋体" w:cs="Times New Roman"/>
                <w:highlight w:val="none"/>
              </w:rPr>
              <w:t>20</w:t>
            </w:r>
          </w:p>
        </w:tc>
        <w:tc>
          <w:tcPr>
            <w:tcW w:w="1650" w:type="dxa"/>
            <w:vAlign w:val="center"/>
          </w:tcPr>
          <w:p w14:paraId="74FA511F">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highlight w:val="none"/>
              </w:rPr>
            </w:pPr>
            <w:r>
              <w:rPr>
                <w:rFonts w:hint="default" w:ascii="Times New Roman" w:hAnsi="Times New Roman" w:eastAsia="宋体" w:cs="Times New Roman"/>
                <w:highlight w:val="none"/>
              </w:rPr>
              <w:t>投标有效期</w:t>
            </w:r>
          </w:p>
        </w:tc>
        <w:tc>
          <w:tcPr>
            <w:tcW w:w="5739" w:type="dxa"/>
            <w:vAlign w:val="center"/>
          </w:tcPr>
          <w:p w14:paraId="00D7BA6A">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highlight w:val="none"/>
              </w:rPr>
            </w:pPr>
            <w:r>
              <w:rPr>
                <w:rFonts w:hint="default" w:ascii="Times New Roman" w:hAnsi="Times New Roman" w:eastAsia="宋体" w:cs="Times New Roman"/>
                <w:color w:val="auto"/>
                <w:highlight w:val="none"/>
                <w:u w:val="single"/>
              </w:rPr>
              <w:t>120日历天</w:t>
            </w:r>
            <w:r>
              <w:rPr>
                <w:rFonts w:hint="default" w:ascii="Times New Roman" w:hAnsi="Times New Roman" w:eastAsia="宋体" w:cs="Times New Roman"/>
                <w:color w:val="auto"/>
                <w:highlight w:val="none"/>
              </w:rPr>
              <w:t>（从投标截止之日算起）</w:t>
            </w:r>
          </w:p>
        </w:tc>
      </w:tr>
      <w:tr w14:paraId="561EC448">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cantSplit/>
          <w:trHeight w:val="20" w:hRule="atLeast"/>
          <w:jc w:val="center"/>
        </w:trPr>
        <w:tc>
          <w:tcPr>
            <w:tcW w:w="978" w:type="dxa"/>
            <w:vAlign w:val="center"/>
          </w:tcPr>
          <w:p w14:paraId="1620B3B9">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highlight w:val="none"/>
              </w:rPr>
            </w:pPr>
            <w:r>
              <w:rPr>
                <w:rFonts w:hint="default" w:ascii="Times New Roman" w:hAnsi="Times New Roman" w:eastAsia="宋体" w:cs="Times New Roman"/>
                <w:highlight w:val="none"/>
              </w:rPr>
              <w:t>22</w:t>
            </w:r>
          </w:p>
        </w:tc>
        <w:tc>
          <w:tcPr>
            <w:tcW w:w="1650" w:type="dxa"/>
            <w:vAlign w:val="center"/>
          </w:tcPr>
          <w:p w14:paraId="0CFF1F11">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highlight w:val="none"/>
              </w:rPr>
            </w:pPr>
            <w:r>
              <w:rPr>
                <w:rFonts w:hint="default" w:ascii="Times New Roman" w:hAnsi="Times New Roman" w:eastAsia="宋体" w:cs="Times New Roman"/>
                <w:highlight w:val="none"/>
              </w:rPr>
              <w:t>投标人的替代方案</w:t>
            </w:r>
          </w:p>
        </w:tc>
        <w:tc>
          <w:tcPr>
            <w:tcW w:w="5739" w:type="dxa"/>
            <w:vAlign w:val="center"/>
          </w:tcPr>
          <w:p w14:paraId="7D336E23">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highlight w:val="none"/>
                <w:lang w:eastAsia="zh-CN"/>
              </w:rPr>
            </w:pPr>
            <w:r>
              <w:rPr>
                <w:rFonts w:hint="default" w:ascii="Times New Roman" w:hAnsi="Times New Roman" w:eastAsia="宋体" w:cs="Times New Roman"/>
                <w:highlight w:val="none"/>
                <w:lang w:eastAsia="zh-CN"/>
              </w:rPr>
              <w:t>不接受</w:t>
            </w:r>
          </w:p>
        </w:tc>
      </w:tr>
      <w:tr w14:paraId="2ECCC457">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cantSplit/>
          <w:trHeight w:val="20" w:hRule="atLeast"/>
          <w:jc w:val="center"/>
        </w:trPr>
        <w:tc>
          <w:tcPr>
            <w:tcW w:w="978" w:type="dxa"/>
            <w:vAlign w:val="center"/>
          </w:tcPr>
          <w:p w14:paraId="578C9AE6">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highlight w:val="none"/>
              </w:rPr>
            </w:pPr>
            <w:r>
              <w:rPr>
                <w:rFonts w:hint="default" w:ascii="Times New Roman" w:hAnsi="Times New Roman" w:eastAsia="宋体" w:cs="Times New Roman"/>
                <w:highlight w:val="none"/>
              </w:rPr>
              <w:t>25</w:t>
            </w:r>
          </w:p>
        </w:tc>
        <w:tc>
          <w:tcPr>
            <w:tcW w:w="1650" w:type="dxa"/>
            <w:vAlign w:val="center"/>
          </w:tcPr>
          <w:p w14:paraId="1C3C0265">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highlight w:val="none"/>
              </w:rPr>
            </w:pPr>
            <w:r>
              <w:rPr>
                <w:rFonts w:hint="default" w:ascii="Times New Roman" w:hAnsi="Times New Roman" w:eastAsia="宋体" w:cs="Times New Roman"/>
                <w:highlight w:val="none"/>
              </w:rPr>
              <w:t>投标文件的大小</w:t>
            </w:r>
          </w:p>
        </w:tc>
        <w:tc>
          <w:tcPr>
            <w:tcW w:w="5739" w:type="dxa"/>
            <w:vAlign w:val="center"/>
          </w:tcPr>
          <w:p w14:paraId="4A2A2CF2">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highlight w:val="none"/>
                <w:lang w:val="en-US" w:eastAsia="zh-CN"/>
              </w:rPr>
            </w:pPr>
            <w:r>
              <w:rPr>
                <w:rFonts w:hint="default" w:ascii="Times New Roman" w:hAnsi="Times New Roman" w:eastAsia="宋体" w:cs="Times New Roman"/>
                <w:highlight w:val="none"/>
                <w:lang w:eastAsia="zh-CN"/>
              </w:rPr>
              <w:t>投标文件大小不得超过</w:t>
            </w:r>
            <w:r>
              <w:rPr>
                <w:rFonts w:hint="default" w:ascii="Times New Roman" w:hAnsi="Times New Roman" w:eastAsia="宋体" w:cs="Times New Roman"/>
                <w:highlight w:val="none"/>
                <w:lang w:val="en-US" w:eastAsia="zh-CN"/>
              </w:rPr>
              <w:t>1</w:t>
            </w:r>
            <w:r>
              <w:rPr>
                <w:rFonts w:hint="default" w:ascii="Times New Roman" w:hAnsi="Times New Roman" w:eastAsia="宋体" w:cs="Times New Roman"/>
                <w:highlight w:val="none"/>
                <w:lang w:eastAsia="zh-CN"/>
              </w:rPr>
              <w:t>00MB</w:t>
            </w:r>
          </w:p>
        </w:tc>
      </w:tr>
      <w:tr w14:paraId="16B9C7D2">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cantSplit/>
          <w:trHeight w:val="20" w:hRule="atLeast"/>
          <w:jc w:val="center"/>
        </w:trPr>
        <w:tc>
          <w:tcPr>
            <w:tcW w:w="978" w:type="dxa"/>
            <w:vAlign w:val="center"/>
          </w:tcPr>
          <w:p w14:paraId="16B59556">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highlight w:val="none"/>
              </w:rPr>
            </w:pPr>
            <w:r>
              <w:rPr>
                <w:rFonts w:hint="default" w:ascii="Times New Roman" w:hAnsi="Times New Roman" w:eastAsia="宋体" w:cs="Times New Roman"/>
                <w:highlight w:val="none"/>
              </w:rPr>
              <w:t>26</w:t>
            </w:r>
          </w:p>
        </w:tc>
        <w:tc>
          <w:tcPr>
            <w:tcW w:w="1650" w:type="dxa"/>
            <w:vAlign w:val="center"/>
          </w:tcPr>
          <w:p w14:paraId="3E57DCBE">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highlight w:val="none"/>
              </w:rPr>
            </w:pPr>
            <w:bookmarkStart w:id="33" w:name="_Hlk71664860"/>
            <w:r>
              <w:rPr>
                <w:rFonts w:hint="default" w:ascii="Times New Roman" w:hAnsi="Times New Roman" w:eastAsia="宋体" w:cs="Times New Roman"/>
                <w:highlight w:val="none"/>
              </w:rPr>
              <w:t>样品、现场演示、方案讲解</w:t>
            </w:r>
            <w:bookmarkEnd w:id="33"/>
          </w:p>
        </w:tc>
        <w:tc>
          <w:tcPr>
            <w:tcW w:w="5739" w:type="dxa"/>
            <w:vAlign w:val="center"/>
          </w:tcPr>
          <w:p w14:paraId="3FAC1708">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highlight w:val="none"/>
              </w:rPr>
            </w:pPr>
            <w:r>
              <w:rPr>
                <w:rFonts w:hint="default" w:ascii="Times New Roman" w:hAnsi="Times New Roman" w:eastAsia="宋体" w:cs="Times New Roman"/>
                <w:highlight w:val="none"/>
                <w:lang w:eastAsia="zh-CN"/>
              </w:rPr>
              <w:t>“无”</w:t>
            </w:r>
          </w:p>
        </w:tc>
      </w:tr>
      <w:tr w14:paraId="0B70FB9B">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cantSplit/>
          <w:trHeight w:val="20" w:hRule="atLeast"/>
          <w:jc w:val="center"/>
        </w:trPr>
        <w:tc>
          <w:tcPr>
            <w:tcW w:w="978" w:type="dxa"/>
            <w:vAlign w:val="center"/>
          </w:tcPr>
          <w:p w14:paraId="7BA8DE87">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highlight w:val="none"/>
              </w:rPr>
            </w:pPr>
            <w:r>
              <w:rPr>
                <w:rFonts w:hint="default" w:ascii="Times New Roman" w:hAnsi="Times New Roman" w:eastAsia="宋体" w:cs="Times New Roman"/>
                <w:highlight w:val="none"/>
              </w:rPr>
              <w:t>37</w:t>
            </w:r>
          </w:p>
        </w:tc>
        <w:tc>
          <w:tcPr>
            <w:tcW w:w="1650" w:type="dxa"/>
            <w:vAlign w:val="center"/>
          </w:tcPr>
          <w:p w14:paraId="61EFF4E9">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highlight w:val="none"/>
              </w:rPr>
            </w:pPr>
            <w:r>
              <w:rPr>
                <w:rFonts w:hint="default" w:ascii="Times New Roman" w:hAnsi="Times New Roman" w:eastAsia="宋体" w:cs="Times New Roman"/>
                <w:highlight w:val="none"/>
              </w:rPr>
              <w:t>评审方法</w:t>
            </w:r>
          </w:p>
        </w:tc>
        <w:tc>
          <w:tcPr>
            <w:tcW w:w="5739" w:type="dxa"/>
            <w:vAlign w:val="center"/>
          </w:tcPr>
          <w:p w14:paraId="30BCD387">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highlight w:val="none"/>
                <w:lang w:eastAsia="zh-CN"/>
              </w:rPr>
            </w:pPr>
            <w:r>
              <w:rPr>
                <w:rFonts w:hint="default" w:ascii="Times New Roman" w:hAnsi="Times New Roman" w:eastAsia="宋体" w:cs="Times New Roman"/>
                <w:highlight w:val="none"/>
                <w:lang w:eastAsia="zh-CN"/>
              </w:rPr>
              <w:t>综合评分法</w:t>
            </w:r>
          </w:p>
        </w:tc>
      </w:tr>
      <w:tr w14:paraId="26DFA243">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cantSplit/>
          <w:trHeight w:val="20" w:hRule="atLeast"/>
          <w:jc w:val="center"/>
        </w:trPr>
        <w:tc>
          <w:tcPr>
            <w:tcW w:w="978" w:type="dxa"/>
            <w:vAlign w:val="center"/>
          </w:tcPr>
          <w:p w14:paraId="67873520">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highlight w:val="none"/>
              </w:rPr>
            </w:pPr>
            <w:r>
              <w:rPr>
                <w:rFonts w:hint="default" w:ascii="Times New Roman" w:hAnsi="Times New Roman" w:eastAsia="宋体" w:cs="Times New Roman"/>
                <w:highlight w:val="none"/>
              </w:rPr>
              <w:t>38</w:t>
            </w:r>
          </w:p>
        </w:tc>
        <w:tc>
          <w:tcPr>
            <w:tcW w:w="1650" w:type="dxa"/>
            <w:vAlign w:val="center"/>
          </w:tcPr>
          <w:p w14:paraId="59E8E5FA">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highlight w:val="none"/>
              </w:rPr>
            </w:pPr>
            <w:r>
              <w:rPr>
                <w:rFonts w:hint="default" w:ascii="Times New Roman" w:hAnsi="Times New Roman" w:eastAsia="宋体" w:cs="Times New Roman"/>
                <w:highlight w:val="none"/>
              </w:rPr>
              <w:t>定标方法</w:t>
            </w:r>
          </w:p>
        </w:tc>
        <w:tc>
          <w:tcPr>
            <w:tcW w:w="5739" w:type="dxa"/>
            <w:vAlign w:val="center"/>
          </w:tcPr>
          <w:p w14:paraId="783C46E7">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highlight w:val="none"/>
                <w:lang w:val="en-US" w:eastAsia="zh-CN"/>
              </w:rPr>
            </w:pPr>
            <w:r>
              <w:rPr>
                <w:rFonts w:hint="default" w:ascii="Times New Roman" w:hAnsi="Times New Roman" w:eastAsia="宋体" w:cs="Times New Roman"/>
                <w:highlight w:val="none"/>
                <w:lang w:eastAsia="zh-CN"/>
              </w:rPr>
              <w:t>非评定分离</w:t>
            </w:r>
          </w:p>
        </w:tc>
      </w:tr>
      <w:tr w14:paraId="24EE3AEC">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cantSplit/>
          <w:trHeight w:val="1606" w:hRule="atLeast"/>
          <w:jc w:val="center"/>
        </w:trPr>
        <w:tc>
          <w:tcPr>
            <w:tcW w:w="978" w:type="dxa"/>
            <w:vAlign w:val="center"/>
          </w:tcPr>
          <w:p w14:paraId="3E626DC0">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highlight w:val="none"/>
              </w:rPr>
            </w:pPr>
            <w:r>
              <w:rPr>
                <w:rFonts w:hint="default" w:ascii="Times New Roman" w:hAnsi="Times New Roman" w:eastAsia="宋体" w:cs="Times New Roman"/>
                <w:highlight w:val="none"/>
              </w:rPr>
              <w:t>46</w:t>
            </w:r>
          </w:p>
        </w:tc>
        <w:tc>
          <w:tcPr>
            <w:tcW w:w="1650" w:type="dxa"/>
            <w:vAlign w:val="center"/>
          </w:tcPr>
          <w:p w14:paraId="38482E8F">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highlight w:val="none"/>
              </w:rPr>
            </w:pPr>
            <w:r>
              <w:rPr>
                <w:rFonts w:hint="default" w:ascii="Times New Roman" w:hAnsi="Times New Roman" w:eastAsia="宋体" w:cs="Times New Roman"/>
                <w:highlight w:val="none"/>
              </w:rPr>
              <w:t>履约担保</w:t>
            </w:r>
          </w:p>
        </w:tc>
        <w:tc>
          <w:tcPr>
            <w:tcW w:w="5739" w:type="dxa"/>
            <w:vAlign w:val="center"/>
          </w:tcPr>
          <w:p w14:paraId="586330E8">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highlight w:val="none"/>
                <w:lang w:eastAsia="zh-CN"/>
              </w:rPr>
            </w:pPr>
            <w:r>
              <w:rPr>
                <w:rFonts w:hint="default" w:ascii="Times New Roman" w:hAnsi="Times New Roman" w:eastAsia="宋体" w:cs="Times New Roman"/>
                <w:highlight w:val="none"/>
                <w:lang w:eastAsia="zh-CN"/>
              </w:rPr>
              <w:t>不需要</w:t>
            </w:r>
          </w:p>
        </w:tc>
      </w:tr>
      <w:tr w14:paraId="234EC232">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cantSplit/>
          <w:trHeight w:val="1606" w:hRule="atLeast"/>
          <w:jc w:val="center"/>
        </w:trPr>
        <w:tc>
          <w:tcPr>
            <w:tcW w:w="978" w:type="dxa"/>
            <w:vAlign w:val="top"/>
          </w:tcPr>
          <w:p w14:paraId="6AE79EF2">
            <w:pPr>
              <w:pStyle w:val="478"/>
              <w:rPr>
                <w:rFonts w:hint="default" w:ascii="Times New Roman" w:hAnsi="Times New Roman" w:eastAsia="宋体" w:cs="Times New Roman"/>
                <w:b/>
                <w:sz w:val="20"/>
              </w:rPr>
            </w:pPr>
          </w:p>
          <w:p w14:paraId="066EB4E3">
            <w:pPr>
              <w:pStyle w:val="478"/>
              <w:rPr>
                <w:rFonts w:hint="default" w:ascii="Times New Roman" w:hAnsi="Times New Roman" w:eastAsia="宋体" w:cs="Times New Roman"/>
                <w:b/>
                <w:sz w:val="20"/>
              </w:rPr>
            </w:pPr>
          </w:p>
          <w:p w14:paraId="3457731C">
            <w:pPr>
              <w:pStyle w:val="478"/>
              <w:rPr>
                <w:rFonts w:hint="default" w:ascii="Times New Roman" w:hAnsi="Times New Roman" w:eastAsia="宋体" w:cs="Times New Roman"/>
                <w:b/>
                <w:sz w:val="20"/>
              </w:rPr>
            </w:pPr>
          </w:p>
          <w:p w14:paraId="07DA285F">
            <w:pPr>
              <w:pStyle w:val="478"/>
              <w:rPr>
                <w:rFonts w:hint="default" w:ascii="Times New Roman" w:hAnsi="Times New Roman" w:eastAsia="宋体" w:cs="Times New Roman"/>
                <w:b/>
                <w:sz w:val="20"/>
              </w:rPr>
            </w:pPr>
          </w:p>
          <w:p w14:paraId="0510C7CC">
            <w:pPr>
              <w:pStyle w:val="478"/>
              <w:rPr>
                <w:rFonts w:hint="default" w:ascii="Times New Roman" w:hAnsi="Times New Roman" w:eastAsia="宋体" w:cs="Times New Roman"/>
                <w:b/>
                <w:sz w:val="20"/>
              </w:rPr>
            </w:pPr>
          </w:p>
          <w:p w14:paraId="3A8D3F0E">
            <w:pPr>
              <w:pStyle w:val="478"/>
              <w:rPr>
                <w:rFonts w:hint="default" w:ascii="Times New Roman" w:hAnsi="Times New Roman" w:eastAsia="宋体" w:cs="Times New Roman"/>
                <w:b/>
                <w:sz w:val="20"/>
              </w:rPr>
            </w:pPr>
          </w:p>
          <w:p w14:paraId="4B2B23AD">
            <w:pPr>
              <w:pStyle w:val="478"/>
              <w:rPr>
                <w:rFonts w:hint="default" w:ascii="Times New Roman" w:hAnsi="Times New Roman" w:eastAsia="宋体" w:cs="Times New Roman"/>
                <w:b/>
                <w:sz w:val="20"/>
              </w:rPr>
            </w:pPr>
          </w:p>
          <w:p w14:paraId="539CE5FC">
            <w:pPr>
              <w:pStyle w:val="478"/>
              <w:rPr>
                <w:rFonts w:hint="default" w:ascii="Times New Roman" w:hAnsi="Times New Roman" w:eastAsia="宋体" w:cs="Times New Roman"/>
                <w:b/>
                <w:sz w:val="20"/>
              </w:rPr>
            </w:pPr>
          </w:p>
          <w:p w14:paraId="3789D9AE">
            <w:pPr>
              <w:pStyle w:val="478"/>
              <w:rPr>
                <w:rFonts w:hint="default" w:ascii="Times New Roman" w:hAnsi="Times New Roman" w:eastAsia="宋体" w:cs="Times New Roman"/>
                <w:b/>
                <w:sz w:val="20"/>
              </w:rPr>
            </w:pPr>
          </w:p>
          <w:p w14:paraId="44CE9CEE">
            <w:pPr>
              <w:pStyle w:val="478"/>
              <w:ind w:left="222" w:leftChars="0" w:right="100" w:rightChars="0"/>
              <w:jc w:val="center"/>
              <w:rPr>
                <w:rFonts w:hint="default" w:ascii="Times New Roman" w:hAnsi="Times New Roman" w:eastAsia="宋体" w:cs="Times New Roman"/>
                <w:highlight w:val="none"/>
              </w:rPr>
            </w:pPr>
            <w:r>
              <w:rPr>
                <w:rFonts w:hint="default" w:ascii="Times New Roman" w:hAnsi="Times New Roman" w:eastAsia="宋体" w:cs="Times New Roman"/>
                <w:lang w:val="en-US" w:eastAsia="zh-CN"/>
              </w:rPr>
              <w:t>54</w:t>
            </w:r>
            <w:r>
              <w:rPr>
                <w:rFonts w:hint="default" w:ascii="Times New Roman" w:hAnsi="Times New Roman" w:eastAsia="宋体" w:cs="Times New Roman"/>
              </w:rPr>
              <w:t xml:space="preserve"> </w:t>
            </w:r>
          </w:p>
        </w:tc>
        <w:tc>
          <w:tcPr>
            <w:tcW w:w="1650" w:type="dxa"/>
            <w:vAlign w:val="top"/>
          </w:tcPr>
          <w:p w14:paraId="3C816B21">
            <w:pPr>
              <w:pStyle w:val="478"/>
              <w:rPr>
                <w:rFonts w:hint="default" w:ascii="Times New Roman" w:hAnsi="Times New Roman" w:eastAsia="宋体" w:cs="Times New Roman"/>
                <w:b/>
                <w:sz w:val="20"/>
              </w:rPr>
            </w:pPr>
          </w:p>
          <w:p w14:paraId="0EA12942">
            <w:pPr>
              <w:pStyle w:val="478"/>
              <w:rPr>
                <w:rFonts w:hint="default" w:ascii="Times New Roman" w:hAnsi="Times New Roman" w:eastAsia="宋体" w:cs="Times New Roman"/>
                <w:b/>
                <w:sz w:val="20"/>
              </w:rPr>
            </w:pPr>
          </w:p>
          <w:p w14:paraId="0BF01017">
            <w:pPr>
              <w:pStyle w:val="478"/>
              <w:rPr>
                <w:rFonts w:hint="default" w:ascii="Times New Roman" w:hAnsi="Times New Roman" w:eastAsia="宋体" w:cs="Times New Roman"/>
                <w:b/>
                <w:sz w:val="20"/>
              </w:rPr>
            </w:pPr>
          </w:p>
          <w:p w14:paraId="0F7E8EB5">
            <w:pPr>
              <w:pStyle w:val="478"/>
              <w:rPr>
                <w:rFonts w:hint="default" w:ascii="Times New Roman" w:hAnsi="Times New Roman" w:eastAsia="宋体" w:cs="Times New Roman"/>
                <w:b/>
                <w:sz w:val="20"/>
              </w:rPr>
            </w:pPr>
          </w:p>
          <w:p w14:paraId="5A6393FC">
            <w:pPr>
              <w:pStyle w:val="478"/>
              <w:rPr>
                <w:rFonts w:hint="default" w:ascii="Times New Roman" w:hAnsi="Times New Roman" w:eastAsia="宋体" w:cs="Times New Roman"/>
                <w:b/>
                <w:sz w:val="20"/>
              </w:rPr>
            </w:pPr>
          </w:p>
          <w:p w14:paraId="502EACBD">
            <w:pPr>
              <w:pStyle w:val="478"/>
              <w:rPr>
                <w:rFonts w:hint="default" w:ascii="Times New Roman" w:hAnsi="Times New Roman" w:eastAsia="宋体" w:cs="Times New Roman"/>
                <w:b/>
                <w:sz w:val="20"/>
              </w:rPr>
            </w:pPr>
          </w:p>
          <w:p w14:paraId="2E49AA9C">
            <w:pPr>
              <w:pStyle w:val="478"/>
              <w:rPr>
                <w:rFonts w:hint="default" w:ascii="Times New Roman" w:hAnsi="Times New Roman" w:eastAsia="宋体" w:cs="Times New Roman"/>
                <w:b/>
                <w:sz w:val="20"/>
              </w:rPr>
            </w:pPr>
          </w:p>
          <w:p w14:paraId="4B788531">
            <w:pPr>
              <w:pStyle w:val="478"/>
              <w:spacing w:before="18"/>
              <w:rPr>
                <w:rFonts w:hint="default" w:ascii="Times New Roman" w:hAnsi="Times New Roman" w:eastAsia="宋体" w:cs="Times New Roman"/>
                <w:b/>
                <w:sz w:val="24"/>
              </w:rPr>
            </w:pPr>
          </w:p>
          <w:p w14:paraId="2EFAB09F">
            <w:pPr>
              <w:pStyle w:val="478"/>
              <w:ind w:left="115" w:leftChars="0"/>
              <w:jc w:val="center"/>
              <w:rPr>
                <w:rFonts w:hint="default" w:ascii="Times New Roman" w:hAnsi="Times New Roman" w:eastAsia="宋体" w:cs="Times New Roman"/>
                <w:highlight w:val="none"/>
              </w:rPr>
            </w:pPr>
            <w:r>
              <w:rPr>
                <w:rFonts w:hint="default" w:ascii="Times New Roman" w:hAnsi="Times New Roman" w:eastAsia="宋体" w:cs="Times New Roman"/>
              </w:rPr>
              <w:t>招标代理服务费</w:t>
            </w:r>
          </w:p>
        </w:tc>
        <w:tc>
          <w:tcPr>
            <w:tcW w:w="5739" w:type="dxa"/>
            <w:vAlign w:val="top"/>
          </w:tcPr>
          <w:p w14:paraId="6EB2B431">
            <w:pPr>
              <w:pStyle w:val="478"/>
              <w:spacing w:before="77" w:line="321" w:lineRule="auto"/>
              <w:ind w:left="115" w:right="71" w:firstLine="420" w:firstLineChars="200"/>
              <w:rPr>
                <w:rFonts w:hint="default" w:ascii="Times New Roman" w:hAnsi="Times New Roman" w:eastAsia="宋体" w:cs="Times New Roman"/>
                <w:szCs w:val="21"/>
                <w:lang w:val="en-US" w:bidi="ar-SA"/>
              </w:rPr>
            </w:pPr>
            <w:r>
              <w:rPr>
                <w:rFonts w:hint="default" w:ascii="Times New Roman" w:hAnsi="Times New Roman" w:cs="Times New Roman"/>
                <w:b w:val="0"/>
                <w:bCs w:val="0"/>
                <w:color w:val="auto"/>
                <w:szCs w:val="21"/>
                <w:lang w:val="en-US" w:eastAsia="zh-CN"/>
              </w:rPr>
              <w:t>本项目财政预算金额中已包含招标代理服务费用，</w:t>
            </w:r>
            <w:r>
              <w:rPr>
                <w:rFonts w:hint="default" w:ascii="Times New Roman" w:hAnsi="Times New Roman" w:cs="Times New Roman"/>
                <w:color w:val="auto"/>
                <w:spacing w:val="4"/>
              </w:rPr>
              <w:t>根据《深圳市财政委员会关于规范深圳市社会采购代理机构管理有关事项的补充通知》“深财购〔2018〕27号”的规定，</w:t>
            </w:r>
            <w:r>
              <w:rPr>
                <w:rFonts w:hint="default" w:ascii="Times New Roman" w:hAnsi="Times New Roman" w:cs="Times New Roman"/>
                <w:color w:val="auto"/>
                <w:spacing w:val="4"/>
                <w:lang w:val="en-US" w:eastAsia="zh-CN"/>
              </w:rPr>
              <w:t>本项目的</w:t>
            </w:r>
            <w:r>
              <w:rPr>
                <w:rFonts w:hint="default" w:ascii="Times New Roman" w:hAnsi="Times New Roman" w:cs="Times New Roman"/>
                <w:b w:val="0"/>
                <w:bCs w:val="0"/>
                <w:color w:val="auto"/>
                <w:szCs w:val="21"/>
                <w:lang w:val="en-US" w:eastAsia="zh-CN"/>
              </w:rPr>
              <w:t>招标代理服务费用</w:t>
            </w:r>
            <w:r>
              <w:rPr>
                <w:rFonts w:hint="default" w:ascii="Times New Roman" w:hAnsi="Times New Roman" w:cs="Times New Roman"/>
                <w:color w:val="auto"/>
                <w:spacing w:val="4"/>
                <w:lang w:val="en-US"/>
              </w:rPr>
              <w:t>由中标人支付，</w:t>
            </w:r>
            <w:r>
              <w:rPr>
                <w:rFonts w:hint="default" w:ascii="Times New Roman" w:hAnsi="Times New Roman" w:cs="Times New Roman"/>
                <w:b/>
                <w:bCs/>
                <w:color w:val="auto"/>
                <w:spacing w:val="4"/>
                <w:lang w:val="en-US"/>
              </w:rPr>
              <w:t>以中标价为计费基准，</w:t>
            </w:r>
            <w:r>
              <w:rPr>
                <w:rFonts w:hint="default" w:ascii="Times New Roman" w:hAnsi="Times New Roman" w:cs="Times New Roman"/>
                <w:color w:val="auto"/>
                <w:spacing w:val="4"/>
                <w:lang w:val="en-US"/>
              </w:rPr>
              <w:t>按</w:t>
            </w:r>
            <w:r>
              <w:rPr>
                <w:rFonts w:hint="default" w:ascii="Times New Roman" w:hAnsi="Times New Roman" w:cs="Times New Roman"/>
                <w:spacing w:val="4"/>
                <w:lang w:val="en-US" w:eastAsia="zh-CN"/>
              </w:rPr>
              <w:t>以下</w:t>
            </w:r>
            <w:r>
              <w:rPr>
                <w:rFonts w:hint="default" w:ascii="Times New Roman" w:hAnsi="Times New Roman" w:cs="Times New Roman"/>
                <w:spacing w:val="4"/>
                <w:lang w:val="en-US"/>
              </w:rPr>
              <w:t>差额定率累进法计算，</w:t>
            </w:r>
            <w:r>
              <w:rPr>
                <w:rFonts w:hint="eastAsia" w:ascii="Times New Roman" w:hAnsi="Times New Roman" w:cs="Times New Roman"/>
                <w:spacing w:val="4"/>
                <w:lang w:val="en-US" w:eastAsia="zh-CN"/>
              </w:rPr>
              <w:t>并</w:t>
            </w:r>
            <w:r>
              <w:rPr>
                <w:rFonts w:hint="default" w:ascii="Times New Roman" w:hAnsi="Times New Roman" w:cs="Times New Roman"/>
                <w:spacing w:val="4"/>
                <w:lang w:val="en-US"/>
              </w:rPr>
              <w:t>在此计算结果基础上下浮</w:t>
            </w:r>
            <w:r>
              <w:rPr>
                <w:rFonts w:hint="default" w:ascii="Times New Roman" w:hAnsi="Times New Roman" w:cs="Times New Roman"/>
                <w:spacing w:val="4"/>
                <w:u w:val="none"/>
                <w:lang w:val="en-US"/>
              </w:rPr>
              <w:t xml:space="preserve">20 </w:t>
            </w:r>
            <w:r>
              <w:rPr>
                <w:rFonts w:hint="default" w:ascii="Times New Roman" w:hAnsi="Times New Roman" w:cs="Times New Roman"/>
                <w:spacing w:val="4"/>
                <w:lang w:val="en-US"/>
              </w:rPr>
              <w:t>%，作为中标服务费，最低收费标准按参仟壹佰元整计取:</w:t>
            </w:r>
          </w:p>
          <w:tbl>
            <w:tblPr>
              <w:tblStyle w:val="45"/>
              <w:tblW w:w="5259" w:type="dxa"/>
              <w:tblInd w:w="2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717"/>
              <w:gridCol w:w="1433"/>
              <w:gridCol w:w="1023"/>
              <w:gridCol w:w="1086"/>
            </w:tblGrid>
            <w:tr w14:paraId="3F254A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70" w:hRule="atLeast"/>
              </w:trPr>
              <w:tc>
                <w:tcPr>
                  <w:tcW w:w="1717" w:type="dxa"/>
                  <w:vMerge w:val="restart"/>
                  <w:tcBorders>
                    <w:tl2br w:val="single" w:color="auto" w:sz="2" w:space="0"/>
                  </w:tcBorders>
                  <w:noWrap w:val="0"/>
                  <w:vAlign w:val="center"/>
                </w:tcPr>
                <w:p w14:paraId="7F3726E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240" w:lineRule="auto"/>
                    <w:ind w:right="0" w:firstLine="803" w:firstLineChars="400"/>
                    <w:jc w:val="left"/>
                    <w:textAlignment w:val="baseline"/>
                    <w:rPr>
                      <w:rFonts w:hint="default" w:ascii="Times New Roman" w:hAnsi="Times New Roman" w:eastAsia="宋体" w:cs="Times New Roman"/>
                      <w:b/>
                      <w:bCs/>
                      <w:i w:val="0"/>
                      <w:iCs w:val="0"/>
                      <w:caps w:val="0"/>
                      <w:color w:val="333333"/>
                      <w:spacing w:val="0"/>
                      <w:kern w:val="0"/>
                      <w:sz w:val="20"/>
                      <w:szCs w:val="20"/>
                      <w:vertAlign w:val="baseline"/>
                      <w:lang w:val="en-US" w:eastAsia="zh-CN" w:bidi="ar"/>
                    </w:rPr>
                  </w:pPr>
                  <w:r>
                    <w:rPr>
                      <w:rFonts w:hint="default" w:ascii="Times New Roman" w:hAnsi="Times New Roman" w:eastAsia="宋体" w:cs="Times New Roman"/>
                      <w:b/>
                      <w:bCs/>
                      <w:i w:val="0"/>
                      <w:iCs w:val="0"/>
                      <w:caps w:val="0"/>
                      <w:color w:val="333333"/>
                      <w:spacing w:val="0"/>
                      <w:kern w:val="0"/>
                      <w:sz w:val="20"/>
                      <w:szCs w:val="20"/>
                      <w:vertAlign w:val="baseline"/>
                      <w:lang w:val="en-US" w:eastAsia="zh-CN" w:bidi="ar"/>
                    </w:rPr>
                    <w:t>类型及费率</w:t>
                  </w:r>
                </w:p>
                <w:p w14:paraId="5F3CFDC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240" w:lineRule="auto"/>
                    <w:ind w:right="0"/>
                    <w:jc w:val="left"/>
                    <w:textAlignment w:val="baseline"/>
                    <w:rPr>
                      <w:rFonts w:hint="default" w:ascii="Times New Roman" w:hAnsi="Times New Roman" w:eastAsia="宋体" w:cs="Times New Roman"/>
                      <w:b/>
                      <w:sz w:val="21"/>
                      <w:szCs w:val="21"/>
                    </w:rPr>
                  </w:pPr>
                  <w:r>
                    <w:rPr>
                      <w:rFonts w:hint="default" w:ascii="Times New Roman" w:hAnsi="Times New Roman" w:eastAsia="宋体" w:cs="Times New Roman"/>
                      <w:b/>
                      <w:bCs/>
                      <w:i w:val="0"/>
                      <w:iCs w:val="0"/>
                      <w:caps w:val="0"/>
                      <w:color w:val="333333"/>
                      <w:spacing w:val="0"/>
                      <w:kern w:val="0"/>
                      <w:sz w:val="20"/>
                      <w:szCs w:val="20"/>
                      <w:vertAlign w:val="baseline"/>
                      <w:lang w:val="en-US" w:eastAsia="zh-CN" w:bidi="ar"/>
                    </w:rPr>
                    <w:t>中标金额</w:t>
                  </w:r>
                </w:p>
              </w:tc>
              <w:tc>
                <w:tcPr>
                  <w:tcW w:w="3542" w:type="dxa"/>
                  <w:gridSpan w:val="3"/>
                  <w:noWrap w:val="0"/>
                  <w:vAlign w:val="center"/>
                </w:tcPr>
                <w:p w14:paraId="5FCD3AB2">
                  <w:pPr>
                    <w:pStyle w:val="478"/>
                    <w:keepNext w:val="0"/>
                    <w:keepLines w:val="0"/>
                    <w:pageBreakBefore w:val="0"/>
                    <w:suppressLineNumbers w:val="0"/>
                    <w:kinsoku/>
                    <w:overflowPunct/>
                    <w:topLinePunct w:val="0"/>
                    <w:autoSpaceDE/>
                    <w:autoSpaceDN/>
                    <w:bidi w:val="0"/>
                    <w:adjustRightInd w:val="0"/>
                    <w:snapToGrid w:val="0"/>
                    <w:spacing w:before="0" w:beforeAutospacing="0" w:after="0" w:afterAutospacing="0" w:line="240" w:lineRule="auto"/>
                    <w:ind w:left="0" w:right="0"/>
                    <w:jc w:val="center"/>
                    <w:rPr>
                      <w:rFonts w:hint="default" w:ascii="Times New Roman" w:hAnsi="Times New Roman" w:eastAsia="宋体" w:cs="Times New Roman"/>
                      <w:b/>
                      <w:sz w:val="21"/>
                      <w:szCs w:val="21"/>
                    </w:rPr>
                  </w:pPr>
                  <w:r>
                    <w:rPr>
                      <w:rFonts w:hint="default" w:ascii="Times New Roman" w:hAnsi="Times New Roman" w:eastAsia="宋体" w:cs="Times New Roman"/>
                      <w:b/>
                      <w:sz w:val="21"/>
                      <w:szCs w:val="21"/>
                    </w:rPr>
                    <w:t>各类型招标代理服务费计算费率</w:t>
                  </w:r>
                </w:p>
              </w:tc>
            </w:tr>
            <w:tr w14:paraId="5E9F18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6" w:hRule="atLeast"/>
              </w:trPr>
              <w:tc>
                <w:tcPr>
                  <w:tcW w:w="1717" w:type="dxa"/>
                  <w:vMerge w:val="continue"/>
                  <w:noWrap w:val="0"/>
                  <w:vAlign w:val="center"/>
                </w:tcPr>
                <w:p w14:paraId="2F7957BA">
                  <w:pPr>
                    <w:keepNext w:val="0"/>
                    <w:keepLines w:val="0"/>
                    <w:pageBreakBefore w:val="0"/>
                    <w:suppressLineNumbers w:val="0"/>
                    <w:kinsoku/>
                    <w:overflowPunct/>
                    <w:topLinePunct w:val="0"/>
                    <w:autoSpaceDE/>
                    <w:autoSpaceDN/>
                    <w:bidi w:val="0"/>
                    <w:adjustRightInd w:val="0"/>
                    <w:snapToGrid w:val="0"/>
                    <w:spacing w:before="0" w:beforeAutospacing="0" w:after="0" w:afterAutospacing="0" w:line="240" w:lineRule="auto"/>
                    <w:ind w:left="0" w:right="0"/>
                    <w:jc w:val="center"/>
                    <w:rPr>
                      <w:rFonts w:hint="default" w:ascii="Times New Roman" w:hAnsi="Times New Roman" w:eastAsia="宋体" w:cs="Times New Roman"/>
                      <w:sz w:val="21"/>
                      <w:szCs w:val="21"/>
                    </w:rPr>
                  </w:pPr>
                </w:p>
              </w:tc>
              <w:tc>
                <w:tcPr>
                  <w:tcW w:w="1433" w:type="dxa"/>
                  <w:noWrap w:val="0"/>
                  <w:vAlign w:val="center"/>
                </w:tcPr>
                <w:p w14:paraId="0A0592FE">
                  <w:pPr>
                    <w:pStyle w:val="478"/>
                    <w:keepNext w:val="0"/>
                    <w:keepLines w:val="0"/>
                    <w:pageBreakBefore w:val="0"/>
                    <w:suppressLineNumbers w:val="0"/>
                    <w:kinsoku/>
                    <w:overflowPunct/>
                    <w:topLinePunct w:val="0"/>
                    <w:autoSpaceDE/>
                    <w:autoSpaceDN/>
                    <w:bidi w:val="0"/>
                    <w:adjustRightInd w:val="0"/>
                    <w:snapToGrid w:val="0"/>
                    <w:spacing w:before="0" w:beforeAutospacing="0" w:after="0" w:afterAutospacing="0" w:line="240" w:lineRule="auto"/>
                    <w:ind w:left="0" w:right="0"/>
                    <w:jc w:val="center"/>
                    <w:rPr>
                      <w:rFonts w:hint="default" w:ascii="Times New Roman" w:hAnsi="Times New Roman" w:eastAsia="宋体" w:cs="Times New Roman"/>
                      <w:b/>
                      <w:sz w:val="21"/>
                      <w:szCs w:val="21"/>
                    </w:rPr>
                  </w:pPr>
                  <w:r>
                    <w:rPr>
                      <w:rFonts w:hint="default" w:ascii="Times New Roman" w:hAnsi="Times New Roman" w:eastAsia="宋体" w:cs="Times New Roman"/>
                      <w:b/>
                      <w:sz w:val="21"/>
                      <w:szCs w:val="21"/>
                    </w:rPr>
                    <w:t>货物招标</w:t>
                  </w:r>
                </w:p>
              </w:tc>
              <w:tc>
                <w:tcPr>
                  <w:tcW w:w="1023" w:type="dxa"/>
                  <w:noWrap w:val="0"/>
                  <w:vAlign w:val="center"/>
                </w:tcPr>
                <w:p w14:paraId="57E543CB">
                  <w:pPr>
                    <w:pStyle w:val="478"/>
                    <w:keepNext w:val="0"/>
                    <w:keepLines w:val="0"/>
                    <w:pageBreakBefore w:val="0"/>
                    <w:suppressLineNumbers w:val="0"/>
                    <w:kinsoku/>
                    <w:overflowPunct/>
                    <w:topLinePunct w:val="0"/>
                    <w:autoSpaceDE/>
                    <w:autoSpaceDN/>
                    <w:bidi w:val="0"/>
                    <w:adjustRightInd w:val="0"/>
                    <w:snapToGrid w:val="0"/>
                    <w:spacing w:before="85" w:beforeAutospacing="0" w:after="0" w:afterAutospacing="0" w:line="240" w:lineRule="auto"/>
                    <w:ind w:left="0" w:right="107"/>
                    <w:jc w:val="center"/>
                    <w:rPr>
                      <w:rFonts w:hint="default" w:ascii="Times New Roman" w:hAnsi="Times New Roman" w:eastAsia="宋体" w:cs="Times New Roman"/>
                      <w:b/>
                      <w:sz w:val="21"/>
                      <w:szCs w:val="21"/>
                    </w:rPr>
                  </w:pPr>
                  <w:r>
                    <w:rPr>
                      <w:rFonts w:hint="default" w:ascii="Times New Roman" w:hAnsi="Times New Roman" w:eastAsia="宋体" w:cs="Times New Roman"/>
                      <w:b/>
                      <w:sz w:val="21"/>
                      <w:szCs w:val="21"/>
                    </w:rPr>
                    <w:t>服务招标</w:t>
                  </w:r>
                </w:p>
              </w:tc>
              <w:tc>
                <w:tcPr>
                  <w:tcW w:w="1086" w:type="dxa"/>
                  <w:noWrap w:val="0"/>
                  <w:vAlign w:val="center"/>
                </w:tcPr>
                <w:p w14:paraId="3380886C">
                  <w:pPr>
                    <w:pStyle w:val="478"/>
                    <w:keepNext w:val="0"/>
                    <w:keepLines w:val="0"/>
                    <w:pageBreakBefore w:val="0"/>
                    <w:suppressLineNumbers w:val="0"/>
                    <w:kinsoku/>
                    <w:overflowPunct/>
                    <w:topLinePunct w:val="0"/>
                    <w:autoSpaceDE/>
                    <w:autoSpaceDN/>
                    <w:bidi w:val="0"/>
                    <w:adjustRightInd w:val="0"/>
                    <w:snapToGrid w:val="0"/>
                    <w:spacing w:before="85" w:beforeAutospacing="0" w:after="0" w:afterAutospacing="0" w:line="240" w:lineRule="auto"/>
                    <w:ind w:left="0" w:right="148"/>
                    <w:jc w:val="center"/>
                    <w:rPr>
                      <w:rFonts w:hint="default" w:ascii="Times New Roman" w:hAnsi="Times New Roman" w:eastAsia="宋体" w:cs="Times New Roman"/>
                      <w:b/>
                      <w:sz w:val="21"/>
                      <w:szCs w:val="21"/>
                    </w:rPr>
                  </w:pPr>
                  <w:r>
                    <w:rPr>
                      <w:rFonts w:hint="default" w:ascii="Times New Roman" w:hAnsi="Times New Roman" w:eastAsia="宋体" w:cs="Times New Roman"/>
                      <w:b/>
                      <w:sz w:val="21"/>
                      <w:szCs w:val="21"/>
                    </w:rPr>
                    <w:t>工程招标</w:t>
                  </w:r>
                </w:p>
              </w:tc>
            </w:tr>
            <w:tr w14:paraId="2DDFEA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70" w:hRule="atLeast"/>
              </w:trPr>
              <w:tc>
                <w:tcPr>
                  <w:tcW w:w="1717" w:type="dxa"/>
                  <w:noWrap w:val="0"/>
                  <w:vAlign w:val="top"/>
                </w:tcPr>
                <w:p w14:paraId="73F5638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240" w:lineRule="auto"/>
                    <w:ind w:left="0" w:leftChars="0" w:right="0" w:rightChars="0"/>
                    <w:jc w:val="right"/>
                    <w:textAlignment w:val="baseline"/>
                    <w:rPr>
                      <w:rFonts w:hint="default" w:ascii="Times New Roman" w:hAnsi="Times New Roman" w:eastAsia="宋体" w:cs="Times New Roman"/>
                      <w:sz w:val="20"/>
                      <w:szCs w:val="20"/>
                    </w:rPr>
                  </w:pPr>
                  <w:r>
                    <w:rPr>
                      <w:rFonts w:hint="default" w:ascii="Times New Roman" w:hAnsi="Times New Roman" w:eastAsia="宋体" w:cs="Times New Roman"/>
                      <w:i w:val="0"/>
                      <w:iCs w:val="0"/>
                      <w:caps w:val="0"/>
                      <w:color w:val="333333"/>
                      <w:spacing w:val="0"/>
                      <w:kern w:val="0"/>
                      <w:sz w:val="20"/>
                      <w:szCs w:val="20"/>
                      <w:vertAlign w:val="baseline"/>
                      <w:lang w:val="en-US" w:eastAsia="zh-CN" w:bidi="ar"/>
                    </w:rPr>
                    <w:t>100万元以下</w:t>
                  </w:r>
                </w:p>
              </w:tc>
              <w:tc>
                <w:tcPr>
                  <w:tcW w:w="1433" w:type="dxa"/>
                  <w:noWrap w:val="0"/>
                  <w:vAlign w:val="top"/>
                </w:tcPr>
                <w:p w14:paraId="2EF6EE7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i w:val="0"/>
                      <w:iCs w:val="0"/>
                      <w:caps w:val="0"/>
                      <w:color w:val="333333"/>
                      <w:spacing w:val="0"/>
                      <w:kern w:val="0"/>
                      <w:sz w:val="21"/>
                      <w:szCs w:val="21"/>
                      <w:vertAlign w:val="baseline"/>
                      <w:lang w:val="en-US" w:eastAsia="zh-CN" w:bidi="ar"/>
                    </w:rPr>
                    <w:t>1.5%</w:t>
                  </w:r>
                </w:p>
              </w:tc>
              <w:tc>
                <w:tcPr>
                  <w:tcW w:w="1023" w:type="dxa"/>
                  <w:noWrap w:val="0"/>
                  <w:vAlign w:val="top"/>
                </w:tcPr>
                <w:p w14:paraId="20DA636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i w:val="0"/>
                      <w:iCs w:val="0"/>
                      <w:caps w:val="0"/>
                      <w:color w:val="333333"/>
                      <w:spacing w:val="0"/>
                      <w:kern w:val="0"/>
                      <w:sz w:val="21"/>
                      <w:szCs w:val="21"/>
                      <w:vertAlign w:val="baseline"/>
                      <w:lang w:val="en-US" w:eastAsia="zh-CN" w:bidi="ar"/>
                    </w:rPr>
                    <w:t>1.5%</w:t>
                  </w:r>
                </w:p>
              </w:tc>
              <w:tc>
                <w:tcPr>
                  <w:tcW w:w="1086" w:type="dxa"/>
                  <w:noWrap w:val="0"/>
                  <w:vAlign w:val="top"/>
                </w:tcPr>
                <w:p w14:paraId="767BE46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i w:val="0"/>
                      <w:iCs w:val="0"/>
                      <w:caps w:val="0"/>
                      <w:color w:val="333333"/>
                      <w:spacing w:val="0"/>
                      <w:kern w:val="0"/>
                      <w:sz w:val="21"/>
                      <w:szCs w:val="21"/>
                      <w:vertAlign w:val="baseline"/>
                      <w:lang w:val="en-US" w:eastAsia="zh-CN" w:bidi="ar"/>
                    </w:rPr>
                    <w:t>1.0%</w:t>
                  </w:r>
                </w:p>
              </w:tc>
            </w:tr>
            <w:tr w14:paraId="33C1E7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05" w:hRule="atLeast"/>
              </w:trPr>
              <w:tc>
                <w:tcPr>
                  <w:tcW w:w="1717" w:type="dxa"/>
                  <w:noWrap w:val="0"/>
                  <w:vAlign w:val="top"/>
                </w:tcPr>
                <w:p w14:paraId="52611D2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240" w:lineRule="auto"/>
                    <w:ind w:left="0" w:leftChars="0" w:right="0" w:rightChars="0"/>
                    <w:jc w:val="right"/>
                    <w:textAlignment w:val="baseline"/>
                    <w:rPr>
                      <w:rFonts w:hint="default" w:ascii="Times New Roman" w:hAnsi="Times New Roman" w:eastAsia="宋体" w:cs="Times New Roman"/>
                      <w:sz w:val="20"/>
                      <w:szCs w:val="20"/>
                    </w:rPr>
                  </w:pPr>
                  <w:r>
                    <w:rPr>
                      <w:rFonts w:hint="default" w:ascii="Times New Roman" w:hAnsi="Times New Roman" w:eastAsia="宋体" w:cs="Times New Roman"/>
                      <w:i w:val="0"/>
                      <w:iCs w:val="0"/>
                      <w:caps w:val="0"/>
                      <w:color w:val="333333"/>
                      <w:spacing w:val="0"/>
                      <w:kern w:val="0"/>
                      <w:sz w:val="20"/>
                      <w:szCs w:val="20"/>
                      <w:vertAlign w:val="baseline"/>
                      <w:lang w:val="en-US" w:eastAsia="zh-CN" w:bidi="ar"/>
                    </w:rPr>
                    <w:t>100万元（含）-500万元</w:t>
                  </w:r>
                </w:p>
              </w:tc>
              <w:tc>
                <w:tcPr>
                  <w:tcW w:w="1433" w:type="dxa"/>
                  <w:noWrap w:val="0"/>
                  <w:vAlign w:val="top"/>
                </w:tcPr>
                <w:p w14:paraId="73EF750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i w:val="0"/>
                      <w:iCs w:val="0"/>
                      <w:caps w:val="0"/>
                      <w:color w:val="333333"/>
                      <w:spacing w:val="0"/>
                      <w:kern w:val="0"/>
                      <w:sz w:val="21"/>
                      <w:szCs w:val="21"/>
                      <w:vertAlign w:val="baseline"/>
                      <w:lang w:val="en-US" w:eastAsia="zh-CN" w:bidi="ar"/>
                    </w:rPr>
                    <w:t>1.1%</w:t>
                  </w:r>
                </w:p>
              </w:tc>
              <w:tc>
                <w:tcPr>
                  <w:tcW w:w="1023" w:type="dxa"/>
                  <w:noWrap w:val="0"/>
                  <w:vAlign w:val="top"/>
                </w:tcPr>
                <w:p w14:paraId="12A970B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i w:val="0"/>
                      <w:iCs w:val="0"/>
                      <w:caps w:val="0"/>
                      <w:color w:val="333333"/>
                      <w:spacing w:val="0"/>
                      <w:kern w:val="0"/>
                      <w:sz w:val="21"/>
                      <w:szCs w:val="21"/>
                      <w:vertAlign w:val="baseline"/>
                      <w:lang w:val="en-US" w:eastAsia="zh-CN" w:bidi="ar"/>
                    </w:rPr>
                    <w:t>0.8%</w:t>
                  </w:r>
                </w:p>
              </w:tc>
              <w:tc>
                <w:tcPr>
                  <w:tcW w:w="1086" w:type="dxa"/>
                  <w:noWrap w:val="0"/>
                  <w:vAlign w:val="top"/>
                </w:tcPr>
                <w:p w14:paraId="5280396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i w:val="0"/>
                      <w:iCs w:val="0"/>
                      <w:caps w:val="0"/>
                      <w:color w:val="333333"/>
                      <w:spacing w:val="0"/>
                      <w:kern w:val="0"/>
                      <w:sz w:val="21"/>
                      <w:szCs w:val="21"/>
                      <w:vertAlign w:val="baseline"/>
                      <w:lang w:val="en-US" w:eastAsia="zh-CN" w:bidi="ar"/>
                    </w:rPr>
                    <w:t>0.7%</w:t>
                  </w:r>
                </w:p>
              </w:tc>
            </w:tr>
            <w:tr w14:paraId="427B2C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05" w:hRule="atLeast"/>
              </w:trPr>
              <w:tc>
                <w:tcPr>
                  <w:tcW w:w="1717" w:type="dxa"/>
                  <w:noWrap w:val="0"/>
                  <w:vAlign w:val="top"/>
                </w:tcPr>
                <w:p w14:paraId="142830D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240" w:lineRule="auto"/>
                    <w:ind w:left="0" w:leftChars="0" w:right="0" w:rightChars="0"/>
                    <w:jc w:val="right"/>
                    <w:textAlignment w:val="baseline"/>
                    <w:rPr>
                      <w:rFonts w:hint="default" w:ascii="Times New Roman" w:hAnsi="Times New Roman" w:eastAsia="宋体" w:cs="Times New Roman"/>
                      <w:sz w:val="20"/>
                      <w:szCs w:val="20"/>
                    </w:rPr>
                  </w:pPr>
                  <w:r>
                    <w:rPr>
                      <w:rFonts w:hint="default" w:ascii="Times New Roman" w:hAnsi="Times New Roman" w:eastAsia="宋体" w:cs="Times New Roman"/>
                      <w:i w:val="0"/>
                      <w:iCs w:val="0"/>
                      <w:caps w:val="0"/>
                      <w:color w:val="333333"/>
                      <w:spacing w:val="0"/>
                      <w:kern w:val="0"/>
                      <w:sz w:val="20"/>
                      <w:szCs w:val="20"/>
                      <w:vertAlign w:val="baseline"/>
                      <w:lang w:val="en-US" w:eastAsia="zh-CN" w:bidi="ar"/>
                    </w:rPr>
                    <w:t>500万元（含）-1000万元</w:t>
                  </w:r>
                </w:p>
              </w:tc>
              <w:tc>
                <w:tcPr>
                  <w:tcW w:w="1433" w:type="dxa"/>
                  <w:noWrap w:val="0"/>
                  <w:vAlign w:val="top"/>
                </w:tcPr>
                <w:p w14:paraId="5A270E7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i w:val="0"/>
                      <w:iCs w:val="0"/>
                      <w:caps w:val="0"/>
                      <w:color w:val="333333"/>
                      <w:spacing w:val="0"/>
                      <w:kern w:val="0"/>
                      <w:sz w:val="21"/>
                      <w:szCs w:val="21"/>
                      <w:vertAlign w:val="baseline"/>
                      <w:lang w:val="en-US" w:eastAsia="zh-CN" w:bidi="ar"/>
                    </w:rPr>
                    <w:t>0.8%</w:t>
                  </w:r>
                </w:p>
              </w:tc>
              <w:tc>
                <w:tcPr>
                  <w:tcW w:w="1023" w:type="dxa"/>
                  <w:noWrap w:val="0"/>
                  <w:vAlign w:val="top"/>
                </w:tcPr>
                <w:p w14:paraId="7F4533B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i w:val="0"/>
                      <w:iCs w:val="0"/>
                      <w:caps w:val="0"/>
                      <w:color w:val="333333"/>
                      <w:spacing w:val="0"/>
                      <w:kern w:val="0"/>
                      <w:sz w:val="21"/>
                      <w:szCs w:val="21"/>
                      <w:vertAlign w:val="baseline"/>
                      <w:lang w:val="en-US" w:eastAsia="zh-CN" w:bidi="ar"/>
                    </w:rPr>
                    <w:t>0.45%</w:t>
                  </w:r>
                </w:p>
              </w:tc>
              <w:tc>
                <w:tcPr>
                  <w:tcW w:w="1086" w:type="dxa"/>
                  <w:noWrap w:val="0"/>
                  <w:vAlign w:val="top"/>
                </w:tcPr>
                <w:p w14:paraId="0162977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i w:val="0"/>
                      <w:iCs w:val="0"/>
                      <w:caps w:val="0"/>
                      <w:color w:val="333333"/>
                      <w:spacing w:val="0"/>
                      <w:kern w:val="0"/>
                      <w:sz w:val="21"/>
                      <w:szCs w:val="21"/>
                      <w:vertAlign w:val="baseline"/>
                      <w:lang w:val="en-US" w:eastAsia="zh-CN" w:bidi="ar"/>
                    </w:rPr>
                    <w:t>0.55%</w:t>
                  </w:r>
                </w:p>
              </w:tc>
            </w:tr>
            <w:tr w14:paraId="3CBFBD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05" w:hRule="atLeast"/>
              </w:trPr>
              <w:tc>
                <w:tcPr>
                  <w:tcW w:w="1717" w:type="dxa"/>
                  <w:noWrap w:val="0"/>
                  <w:vAlign w:val="top"/>
                </w:tcPr>
                <w:p w14:paraId="1BEADF6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240" w:lineRule="auto"/>
                    <w:ind w:left="0" w:leftChars="0" w:right="0" w:rightChars="0"/>
                    <w:jc w:val="right"/>
                    <w:textAlignment w:val="baseline"/>
                    <w:rPr>
                      <w:rFonts w:hint="default" w:ascii="Times New Roman" w:hAnsi="Times New Roman" w:eastAsia="宋体" w:cs="Times New Roman"/>
                      <w:sz w:val="20"/>
                      <w:szCs w:val="20"/>
                    </w:rPr>
                  </w:pPr>
                  <w:r>
                    <w:rPr>
                      <w:rFonts w:hint="default" w:ascii="Times New Roman" w:hAnsi="Times New Roman" w:eastAsia="宋体" w:cs="Times New Roman"/>
                      <w:i w:val="0"/>
                      <w:iCs w:val="0"/>
                      <w:caps w:val="0"/>
                      <w:color w:val="333333"/>
                      <w:spacing w:val="0"/>
                      <w:kern w:val="0"/>
                      <w:sz w:val="20"/>
                      <w:szCs w:val="20"/>
                      <w:vertAlign w:val="baseline"/>
                      <w:lang w:val="en-US" w:eastAsia="zh-CN" w:bidi="ar"/>
                    </w:rPr>
                    <w:t>1000万元（含）-5000万元</w:t>
                  </w:r>
                </w:p>
              </w:tc>
              <w:tc>
                <w:tcPr>
                  <w:tcW w:w="1433" w:type="dxa"/>
                  <w:noWrap w:val="0"/>
                  <w:vAlign w:val="top"/>
                </w:tcPr>
                <w:p w14:paraId="233D42B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i w:val="0"/>
                      <w:iCs w:val="0"/>
                      <w:caps w:val="0"/>
                      <w:color w:val="333333"/>
                      <w:spacing w:val="0"/>
                      <w:kern w:val="0"/>
                      <w:sz w:val="21"/>
                      <w:szCs w:val="21"/>
                      <w:vertAlign w:val="baseline"/>
                      <w:lang w:val="en-US" w:eastAsia="zh-CN" w:bidi="ar"/>
                    </w:rPr>
                    <w:t>0.5%</w:t>
                  </w:r>
                </w:p>
              </w:tc>
              <w:tc>
                <w:tcPr>
                  <w:tcW w:w="1023" w:type="dxa"/>
                  <w:noWrap w:val="0"/>
                  <w:vAlign w:val="top"/>
                </w:tcPr>
                <w:p w14:paraId="31B4284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i w:val="0"/>
                      <w:iCs w:val="0"/>
                      <w:caps w:val="0"/>
                      <w:color w:val="333333"/>
                      <w:spacing w:val="0"/>
                      <w:kern w:val="0"/>
                      <w:sz w:val="21"/>
                      <w:szCs w:val="21"/>
                      <w:vertAlign w:val="baseline"/>
                      <w:lang w:val="en-US" w:eastAsia="zh-CN" w:bidi="ar"/>
                    </w:rPr>
                    <w:t>0.25%</w:t>
                  </w:r>
                </w:p>
              </w:tc>
              <w:tc>
                <w:tcPr>
                  <w:tcW w:w="1086" w:type="dxa"/>
                  <w:noWrap w:val="0"/>
                  <w:vAlign w:val="top"/>
                </w:tcPr>
                <w:p w14:paraId="0DA1F43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i w:val="0"/>
                      <w:iCs w:val="0"/>
                      <w:caps w:val="0"/>
                      <w:color w:val="333333"/>
                      <w:spacing w:val="0"/>
                      <w:kern w:val="0"/>
                      <w:sz w:val="21"/>
                      <w:szCs w:val="21"/>
                      <w:vertAlign w:val="baseline"/>
                      <w:lang w:val="en-US" w:eastAsia="zh-CN" w:bidi="ar"/>
                    </w:rPr>
                    <w:t>0.35%</w:t>
                  </w:r>
                </w:p>
              </w:tc>
            </w:tr>
            <w:tr w14:paraId="689684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05" w:hRule="atLeast"/>
              </w:trPr>
              <w:tc>
                <w:tcPr>
                  <w:tcW w:w="1717" w:type="dxa"/>
                  <w:noWrap w:val="0"/>
                  <w:vAlign w:val="top"/>
                </w:tcPr>
                <w:p w14:paraId="7C6DC84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240" w:lineRule="auto"/>
                    <w:ind w:left="0" w:leftChars="0" w:right="0" w:rightChars="0"/>
                    <w:jc w:val="right"/>
                    <w:textAlignment w:val="baseline"/>
                    <w:rPr>
                      <w:rFonts w:hint="default" w:ascii="Times New Roman" w:hAnsi="Times New Roman" w:eastAsia="宋体" w:cs="Times New Roman"/>
                      <w:sz w:val="20"/>
                      <w:szCs w:val="20"/>
                    </w:rPr>
                  </w:pPr>
                  <w:r>
                    <w:rPr>
                      <w:rFonts w:hint="default" w:ascii="Times New Roman" w:hAnsi="Times New Roman" w:eastAsia="宋体" w:cs="Times New Roman"/>
                      <w:i w:val="0"/>
                      <w:iCs w:val="0"/>
                      <w:caps w:val="0"/>
                      <w:color w:val="333333"/>
                      <w:spacing w:val="0"/>
                      <w:kern w:val="0"/>
                      <w:sz w:val="20"/>
                      <w:szCs w:val="20"/>
                      <w:vertAlign w:val="baseline"/>
                      <w:lang w:val="en-US" w:eastAsia="zh-CN" w:bidi="ar"/>
                    </w:rPr>
                    <w:t>5000万元（含）-1亿元</w:t>
                  </w:r>
                </w:p>
              </w:tc>
              <w:tc>
                <w:tcPr>
                  <w:tcW w:w="1433" w:type="dxa"/>
                  <w:noWrap w:val="0"/>
                  <w:vAlign w:val="top"/>
                </w:tcPr>
                <w:p w14:paraId="2DDF9D3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i w:val="0"/>
                      <w:iCs w:val="0"/>
                      <w:caps w:val="0"/>
                      <w:color w:val="333333"/>
                      <w:spacing w:val="0"/>
                      <w:kern w:val="0"/>
                      <w:sz w:val="21"/>
                      <w:szCs w:val="21"/>
                      <w:vertAlign w:val="baseline"/>
                      <w:lang w:val="en-US" w:eastAsia="zh-CN" w:bidi="ar"/>
                    </w:rPr>
                    <w:t>0.25%</w:t>
                  </w:r>
                </w:p>
              </w:tc>
              <w:tc>
                <w:tcPr>
                  <w:tcW w:w="1023" w:type="dxa"/>
                  <w:noWrap w:val="0"/>
                  <w:vAlign w:val="top"/>
                </w:tcPr>
                <w:p w14:paraId="2CA6D49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i w:val="0"/>
                      <w:iCs w:val="0"/>
                      <w:caps w:val="0"/>
                      <w:color w:val="333333"/>
                      <w:spacing w:val="0"/>
                      <w:kern w:val="0"/>
                      <w:sz w:val="21"/>
                      <w:szCs w:val="21"/>
                      <w:vertAlign w:val="baseline"/>
                      <w:lang w:val="en-US" w:eastAsia="zh-CN" w:bidi="ar"/>
                    </w:rPr>
                    <w:t>0.1%</w:t>
                  </w:r>
                </w:p>
              </w:tc>
              <w:tc>
                <w:tcPr>
                  <w:tcW w:w="1086" w:type="dxa"/>
                  <w:noWrap w:val="0"/>
                  <w:vAlign w:val="top"/>
                </w:tcPr>
                <w:p w14:paraId="64D3A60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i w:val="0"/>
                      <w:iCs w:val="0"/>
                      <w:caps w:val="0"/>
                      <w:color w:val="333333"/>
                      <w:spacing w:val="0"/>
                      <w:kern w:val="0"/>
                      <w:sz w:val="21"/>
                      <w:szCs w:val="21"/>
                      <w:vertAlign w:val="baseline"/>
                      <w:lang w:val="en-US" w:eastAsia="zh-CN" w:bidi="ar"/>
                    </w:rPr>
                    <w:t>0.2%</w:t>
                  </w:r>
                </w:p>
              </w:tc>
            </w:tr>
            <w:tr w14:paraId="02D0A3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62" w:hRule="atLeast"/>
              </w:trPr>
              <w:tc>
                <w:tcPr>
                  <w:tcW w:w="1717" w:type="dxa"/>
                  <w:noWrap w:val="0"/>
                  <w:vAlign w:val="top"/>
                </w:tcPr>
                <w:p w14:paraId="773F3C1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240" w:lineRule="auto"/>
                    <w:ind w:left="0" w:leftChars="0" w:right="0" w:rightChars="0"/>
                    <w:jc w:val="right"/>
                    <w:textAlignment w:val="baseline"/>
                    <w:rPr>
                      <w:rFonts w:hint="default" w:ascii="Times New Roman" w:hAnsi="Times New Roman" w:eastAsia="宋体" w:cs="Times New Roman"/>
                      <w:sz w:val="20"/>
                      <w:szCs w:val="20"/>
                    </w:rPr>
                  </w:pPr>
                  <w:r>
                    <w:rPr>
                      <w:rFonts w:hint="default" w:ascii="Times New Roman" w:hAnsi="Times New Roman" w:eastAsia="宋体" w:cs="Times New Roman"/>
                      <w:i w:val="0"/>
                      <w:iCs w:val="0"/>
                      <w:caps w:val="0"/>
                      <w:color w:val="333333"/>
                      <w:spacing w:val="0"/>
                      <w:kern w:val="0"/>
                      <w:sz w:val="20"/>
                      <w:szCs w:val="20"/>
                      <w:vertAlign w:val="baseline"/>
                      <w:lang w:val="en-US" w:eastAsia="zh-CN" w:bidi="ar"/>
                    </w:rPr>
                    <w:t>1亿元（含）-5亿元</w:t>
                  </w:r>
                </w:p>
              </w:tc>
              <w:tc>
                <w:tcPr>
                  <w:tcW w:w="1433" w:type="dxa"/>
                  <w:noWrap w:val="0"/>
                  <w:vAlign w:val="top"/>
                </w:tcPr>
                <w:p w14:paraId="0A1FC33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i w:val="0"/>
                      <w:iCs w:val="0"/>
                      <w:caps w:val="0"/>
                      <w:color w:val="333333"/>
                      <w:spacing w:val="0"/>
                      <w:kern w:val="0"/>
                      <w:sz w:val="21"/>
                      <w:szCs w:val="21"/>
                      <w:vertAlign w:val="baseline"/>
                      <w:lang w:val="en-US" w:eastAsia="zh-CN" w:bidi="ar"/>
                    </w:rPr>
                    <w:t>0.05%</w:t>
                  </w:r>
                </w:p>
              </w:tc>
              <w:tc>
                <w:tcPr>
                  <w:tcW w:w="1023" w:type="dxa"/>
                  <w:noWrap w:val="0"/>
                  <w:vAlign w:val="top"/>
                </w:tcPr>
                <w:p w14:paraId="4A0866B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i w:val="0"/>
                      <w:iCs w:val="0"/>
                      <w:caps w:val="0"/>
                      <w:color w:val="333333"/>
                      <w:spacing w:val="0"/>
                      <w:kern w:val="0"/>
                      <w:sz w:val="21"/>
                      <w:szCs w:val="21"/>
                      <w:vertAlign w:val="baseline"/>
                      <w:lang w:val="en-US" w:eastAsia="zh-CN" w:bidi="ar"/>
                    </w:rPr>
                    <w:t>0.05%</w:t>
                  </w:r>
                </w:p>
              </w:tc>
              <w:tc>
                <w:tcPr>
                  <w:tcW w:w="1086" w:type="dxa"/>
                  <w:noWrap w:val="0"/>
                  <w:vAlign w:val="top"/>
                </w:tcPr>
                <w:p w14:paraId="4A721B8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i w:val="0"/>
                      <w:iCs w:val="0"/>
                      <w:caps w:val="0"/>
                      <w:color w:val="333333"/>
                      <w:spacing w:val="0"/>
                      <w:kern w:val="0"/>
                      <w:sz w:val="21"/>
                      <w:szCs w:val="21"/>
                      <w:vertAlign w:val="baseline"/>
                      <w:lang w:val="en-US" w:eastAsia="zh-CN" w:bidi="ar"/>
                    </w:rPr>
                    <w:t>0.05%</w:t>
                  </w:r>
                </w:p>
              </w:tc>
            </w:tr>
          </w:tbl>
          <w:p w14:paraId="7B116E1C">
            <w:pPr>
              <w:pStyle w:val="478"/>
              <w:spacing w:line="377" w:lineRule="exact"/>
              <w:ind w:left="115"/>
              <w:rPr>
                <w:rFonts w:hint="default" w:ascii="Times New Roman" w:hAnsi="Times New Roman" w:eastAsia="宋体" w:cs="Times New Roman"/>
              </w:rPr>
            </w:pPr>
            <w:r>
              <w:rPr>
                <w:rFonts w:hint="default" w:ascii="Times New Roman" w:hAnsi="Times New Roman" w:eastAsia="宋体" w:cs="Times New Roman"/>
                <w:b/>
              </w:rPr>
              <w:t>注：</w:t>
            </w:r>
            <w:r>
              <w:rPr>
                <w:rFonts w:hint="default" w:ascii="Times New Roman" w:hAnsi="Times New Roman" w:eastAsia="宋体" w:cs="Times New Roman"/>
              </w:rPr>
              <w:t>招标代理服务费缴纳至：</w:t>
            </w:r>
          </w:p>
          <w:p w14:paraId="53DC309D">
            <w:pPr>
              <w:pStyle w:val="478"/>
              <w:spacing w:before="31" w:line="266" w:lineRule="auto"/>
              <w:ind w:left="535" w:right="112"/>
              <w:rPr>
                <w:rFonts w:hint="default" w:ascii="Times New Roman" w:hAnsi="Times New Roman" w:eastAsia="宋体" w:cs="Times New Roman"/>
                <w:lang w:val="en-US" w:eastAsia="zh-CN"/>
              </w:rPr>
            </w:pPr>
            <w:r>
              <w:rPr>
                <w:rFonts w:hint="default" w:ascii="Times New Roman" w:hAnsi="Times New Roman" w:eastAsia="宋体" w:cs="Times New Roman"/>
              </w:rPr>
              <w:t>开户名称：</w:t>
            </w:r>
            <w:r>
              <w:rPr>
                <w:rFonts w:hint="eastAsia" w:ascii="Times New Roman" w:hAnsi="Times New Roman" w:cs="Times New Roman"/>
                <w:lang w:val="en-US" w:eastAsia="zh-CN"/>
              </w:rPr>
              <w:t xml:space="preserve"> 深圳信德招标服务有限公司</w:t>
            </w:r>
          </w:p>
          <w:p w14:paraId="42804876">
            <w:pPr>
              <w:pStyle w:val="478"/>
              <w:spacing w:before="31" w:line="266" w:lineRule="auto"/>
              <w:ind w:left="535" w:right="112"/>
              <w:rPr>
                <w:rFonts w:hint="default" w:ascii="Times New Roman" w:hAnsi="Times New Roman" w:eastAsia="宋体" w:cs="Times New Roman"/>
              </w:rPr>
            </w:pPr>
            <w:r>
              <w:rPr>
                <w:rFonts w:hint="default" w:ascii="Times New Roman" w:hAnsi="Times New Roman" w:eastAsia="宋体" w:cs="Times New Roman"/>
              </w:rPr>
              <w:t>银行帐号：4000032409201115118</w:t>
            </w:r>
          </w:p>
          <w:p w14:paraId="775E52A6">
            <w:pPr>
              <w:pStyle w:val="478"/>
              <w:spacing w:before="3" w:line="252" w:lineRule="exact"/>
              <w:ind w:left="535"/>
              <w:rPr>
                <w:rFonts w:hint="default" w:ascii="Times New Roman" w:hAnsi="Times New Roman" w:eastAsia="宋体" w:cs="Times New Roman"/>
                <w:lang w:val="en-US"/>
              </w:rPr>
            </w:pPr>
            <w:r>
              <w:rPr>
                <w:rFonts w:hint="default" w:ascii="Times New Roman" w:hAnsi="Times New Roman" w:eastAsia="宋体" w:cs="Times New Roman"/>
              </w:rPr>
              <w:t>开户银行：</w:t>
            </w:r>
            <w:r>
              <w:rPr>
                <w:rFonts w:hint="default" w:ascii="Times New Roman" w:hAnsi="Times New Roman" w:eastAsia="宋体" w:cs="Times New Roman"/>
                <w:lang w:val="en-US"/>
              </w:rPr>
              <w:t>中国工商银行深圳喜年支行</w:t>
            </w:r>
          </w:p>
          <w:p w14:paraId="3C212373">
            <w:pPr>
              <w:pStyle w:val="478"/>
              <w:spacing w:before="3" w:line="252" w:lineRule="exact"/>
              <w:ind w:left="535" w:leftChars="0"/>
              <w:rPr>
                <w:rFonts w:hint="default" w:ascii="Times New Roman" w:hAnsi="Times New Roman" w:eastAsia="宋体" w:cs="Times New Roman"/>
                <w:highlight w:val="none"/>
                <w:lang w:eastAsia="zh-CN"/>
              </w:rPr>
            </w:pPr>
          </w:p>
        </w:tc>
      </w:tr>
    </w:tbl>
    <w:p w14:paraId="51EF73F2">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Cs w:val="21"/>
          <w:highlight w:val="none"/>
          <w:lang w:eastAsia="zh-CN"/>
        </w:rPr>
      </w:pPr>
    </w:p>
    <w:p w14:paraId="67EAF955">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t>备注：本表是通用条款相关条款的补充和明确，如与通用条款内容相冲突的，以本表为准。</w:t>
      </w:r>
    </w:p>
    <w:p w14:paraId="2E697096">
      <w:pPr>
        <w:pageBreakBefore w:val="0"/>
        <w:kinsoku/>
        <w:overflowPunct/>
        <w:topLinePunct w:val="0"/>
        <w:autoSpaceDE/>
        <w:autoSpaceDN/>
        <w:bidi w:val="0"/>
        <w:spacing w:beforeAutospacing="0" w:afterAutospacing="0" w:line="240" w:lineRule="auto"/>
        <w:ind w:left="0" w:leftChars="0" w:right="0" w:firstLine="0" w:firstLineChars="0"/>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br w:type="page"/>
      </w:r>
    </w:p>
    <w:bookmarkEnd w:id="32"/>
    <w:p w14:paraId="0C4B84D7">
      <w:pPr>
        <w:pStyle w:val="5"/>
        <w:pageBreakBefore w:val="0"/>
        <w:kinsoku/>
        <w:overflowPunct/>
        <w:topLinePunct w:val="0"/>
        <w:autoSpaceDE/>
        <w:autoSpaceDN/>
        <w:bidi w:val="0"/>
        <w:spacing w:beforeAutospacing="0" w:afterAutospacing="0" w:line="360" w:lineRule="auto"/>
        <w:ind w:left="0" w:leftChars="0" w:right="0" w:firstLine="0" w:firstLineChars="0"/>
        <w:jc w:val="center"/>
        <w:outlineLvl w:val="2"/>
        <w:rPr>
          <w:rFonts w:hint="default" w:ascii="Times New Roman" w:hAnsi="Times New Roman" w:eastAsia="宋体" w:cs="Times New Roman"/>
          <w:szCs w:val="24"/>
          <w:highlight w:val="none"/>
        </w:rPr>
      </w:pPr>
      <w:bookmarkStart w:id="34" w:name="_Hlk72218117"/>
      <w:r>
        <w:rPr>
          <w:rFonts w:hint="default" w:ascii="Times New Roman" w:hAnsi="Times New Roman" w:eastAsia="宋体" w:cs="Times New Roman"/>
          <w:szCs w:val="24"/>
          <w:highlight w:val="none"/>
        </w:rPr>
        <w:t>二、其他关键信息</w:t>
      </w:r>
    </w:p>
    <w:p w14:paraId="09E79F8E">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bCs/>
          <w:highlight w:val="none"/>
        </w:rPr>
      </w:pPr>
      <w:bookmarkStart w:id="35" w:name="_Hlk72579427"/>
      <w:r>
        <w:rPr>
          <w:rFonts w:hint="default" w:ascii="Times New Roman" w:hAnsi="Times New Roman" w:eastAsia="宋体" w:cs="Times New Roman"/>
          <w:b/>
          <w:bCs/>
          <w:highlight w:val="none"/>
        </w:rPr>
        <w:t>（一）与“对通用条款的补充内容”章节相关的事项</w:t>
      </w:r>
    </w:p>
    <w:p w14:paraId="190EF1EF">
      <w:pPr>
        <w:jc w:val="both"/>
        <w:rPr>
          <w:rFonts w:hint="default" w:ascii="Times New Roman" w:hAnsi="Times New Roman" w:cs="Times New Roman" w:eastAsiaTheme="minorEastAsia"/>
          <w:color w:val="auto"/>
          <w:lang w:val="en-US" w:eastAsia="zh-CN"/>
        </w:rPr>
      </w:pPr>
      <w:r>
        <w:rPr>
          <w:rFonts w:hint="default" w:ascii="Times New Roman" w:hAnsi="Times New Roman" w:cs="Times New Roman" w:eastAsiaTheme="minorEastAsia"/>
          <w:b/>
          <w:color w:val="auto"/>
          <w:lang w:val="en-US" w:eastAsia="zh-CN"/>
        </w:rPr>
        <w:t>1.</w:t>
      </w:r>
      <w:r>
        <w:rPr>
          <w:rFonts w:hint="default" w:ascii="Times New Roman" w:hAnsi="Times New Roman" w:cs="Times New Roman" w:eastAsiaTheme="minorEastAsia"/>
          <w:b/>
          <w:color w:val="auto"/>
        </w:rPr>
        <w:t>评定分离项目</w:t>
      </w:r>
    </w:p>
    <w:tbl>
      <w:tblPr>
        <w:tblStyle w:val="46"/>
        <w:tblW w:w="852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64"/>
        <w:gridCol w:w="4265"/>
      </w:tblGrid>
      <w:tr w14:paraId="5806CB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noWrap w:val="0"/>
            <w:vAlign w:val="top"/>
          </w:tcPr>
          <w:p w14:paraId="29DFBD47">
            <w:pPr>
              <w:widowControl w:val="0"/>
              <w:jc w:val="center"/>
              <w:rPr>
                <w:rFonts w:hint="default" w:ascii="Times New Roman" w:hAnsi="Times New Roman" w:cs="Times New Roman" w:eastAsiaTheme="minorEastAsia"/>
                <w:color w:val="auto"/>
              </w:rPr>
            </w:pPr>
            <w:bookmarkStart w:id="36" w:name="_Hlk74239733"/>
            <w:r>
              <w:rPr>
                <w:rFonts w:hint="default" w:ascii="Times New Roman" w:hAnsi="Times New Roman" w:cs="Times New Roman" w:eastAsiaTheme="minorEastAsia"/>
                <w:color w:val="auto"/>
              </w:rPr>
              <w:t>评标方法</w:t>
            </w:r>
          </w:p>
        </w:tc>
        <w:tc>
          <w:tcPr>
            <w:tcW w:w="4265" w:type="dxa"/>
            <w:noWrap w:val="0"/>
            <w:vAlign w:val="top"/>
          </w:tcPr>
          <w:p w14:paraId="6CDC273E">
            <w:pPr>
              <w:widowControl w:val="0"/>
              <w:jc w:val="center"/>
              <w:rPr>
                <w:rFonts w:hint="default" w:ascii="Times New Roman" w:hAnsi="Times New Roman" w:cs="Times New Roman" w:eastAsiaTheme="minorEastAsia"/>
                <w:color w:val="auto"/>
              </w:rPr>
            </w:pPr>
            <w:r>
              <w:rPr>
                <w:rFonts w:hint="default" w:ascii="Times New Roman" w:hAnsi="Times New Roman" w:eastAsia="宋体" w:cs="Times New Roman"/>
              </w:rPr>
              <w:t>非评定分离</w:t>
            </w:r>
          </w:p>
        </w:tc>
      </w:tr>
      <w:tr w14:paraId="2F7455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noWrap w:val="0"/>
            <w:vAlign w:val="top"/>
          </w:tcPr>
          <w:p w14:paraId="0110A794">
            <w:pPr>
              <w:widowControl w:val="0"/>
              <w:jc w:val="center"/>
              <w:rPr>
                <w:rFonts w:hint="default" w:ascii="Times New Roman" w:hAnsi="Times New Roman" w:cs="Times New Roman" w:eastAsiaTheme="minorEastAsia"/>
                <w:color w:val="auto"/>
              </w:rPr>
            </w:pPr>
            <w:r>
              <w:rPr>
                <w:rFonts w:hint="default" w:ascii="Times New Roman" w:hAnsi="Times New Roman" w:cs="Times New Roman" w:eastAsiaTheme="minorEastAsia"/>
                <w:color w:val="auto"/>
              </w:rPr>
              <w:t>候选中标供应商家数</w:t>
            </w:r>
          </w:p>
        </w:tc>
        <w:tc>
          <w:tcPr>
            <w:tcW w:w="4265" w:type="dxa"/>
            <w:noWrap w:val="0"/>
            <w:vAlign w:val="top"/>
          </w:tcPr>
          <w:p w14:paraId="6021B8C7">
            <w:pPr>
              <w:widowControl w:val="0"/>
              <w:jc w:val="center"/>
              <w:rPr>
                <w:rFonts w:hint="default" w:ascii="Times New Roman" w:hAnsi="Times New Roman" w:cs="Times New Roman" w:eastAsiaTheme="minorEastAsia"/>
                <w:color w:val="auto"/>
                <w:lang w:eastAsia="zh-CN"/>
              </w:rPr>
            </w:pPr>
            <w:r>
              <w:rPr>
                <w:rFonts w:hint="default" w:ascii="Times New Roman" w:hAnsi="Times New Roman" w:eastAsia="宋体" w:cs="Times New Roman"/>
              </w:rPr>
              <w:t>非评定分离</w:t>
            </w:r>
          </w:p>
        </w:tc>
      </w:tr>
      <w:tr w14:paraId="512F5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noWrap w:val="0"/>
            <w:vAlign w:val="top"/>
          </w:tcPr>
          <w:p w14:paraId="49A0AF63">
            <w:pPr>
              <w:widowControl w:val="0"/>
              <w:jc w:val="center"/>
              <w:rPr>
                <w:rFonts w:hint="default" w:ascii="Times New Roman" w:hAnsi="Times New Roman" w:cs="Times New Roman" w:eastAsiaTheme="minorEastAsia"/>
                <w:color w:val="auto"/>
              </w:rPr>
            </w:pPr>
            <w:r>
              <w:rPr>
                <w:rFonts w:hint="default" w:ascii="Times New Roman" w:hAnsi="Times New Roman" w:cs="Times New Roman" w:eastAsiaTheme="minorEastAsia"/>
                <w:color w:val="auto"/>
              </w:rPr>
              <w:t>中标供应商家数</w:t>
            </w:r>
          </w:p>
        </w:tc>
        <w:tc>
          <w:tcPr>
            <w:tcW w:w="4265" w:type="dxa"/>
            <w:noWrap w:val="0"/>
            <w:vAlign w:val="top"/>
          </w:tcPr>
          <w:p w14:paraId="69F41BC6">
            <w:pPr>
              <w:widowControl w:val="0"/>
              <w:jc w:val="center"/>
              <w:rPr>
                <w:rFonts w:hint="default" w:ascii="Times New Roman" w:hAnsi="Times New Roman" w:cs="Times New Roman" w:eastAsiaTheme="minorEastAsia"/>
                <w:color w:val="auto"/>
              </w:rPr>
            </w:pPr>
            <w:r>
              <w:rPr>
                <w:rFonts w:hint="default" w:ascii="Times New Roman" w:hAnsi="Times New Roman" w:eastAsia="宋体" w:cs="Times New Roman"/>
              </w:rPr>
              <w:t>非评定分离</w:t>
            </w:r>
          </w:p>
        </w:tc>
      </w:tr>
      <w:bookmarkEnd w:id="36"/>
    </w:tbl>
    <w:p w14:paraId="685C0F56">
      <w:pPr>
        <w:jc w:val="both"/>
        <w:rPr>
          <w:rFonts w:hint="default" w:ascii="Times New Roman" w:hAnsi="Times New Roman" w:cs="Times New Roman" w:eastAsiaTheme="minorEastAsia"/>
          <w:color w:val="auto"/>
          <w:lang w:val="en-US" w:eastAsia="zh-CN"/>
        </w:rPr>
      </w:pPr>
      <w:r>
        <w:rPr>
          <w:rFonts w:hint="default" w:ascii="Times New Roman" w:hAnsi="Times New Roman" w:cs="Times New Roman" w:eastAsiaTheme="minorEastAsia"/>
          <w:b/>
          <w:color w:val="auto"/>
          <w:lang w:val="en-US" w:eastAsia="zh-CN"/>
        </w:rPr>
        <w:t>2.非</w:t>
      </w:r>
      <w:r>
        <w:rPr>
          <w:rFonts w:hint="default" w:ascii="Times New Roman" w:hAnsi="Times New Roman" w:cs="Times New Roman" w:eastAsiaTheme="minorEastAsia"/>
          <w:b/>
          <w:color w:val="auto"/>
        </w:rPr>
        <w:t>评定分离项目</w:t>
      </w:r>
    </w:p>
    <w:tbl>
      <w:tblPr>
        <w:tblStyle w:val="46"/>
        <w:tblW w:w="852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64"/>
        <w:gridCol w:w="4265"/>
      </w:tblGrid>
      <w:tr w14:paraId="7E8659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noWrap w:val="0"/>
            <w:vAlign w:val="top"/>
          </w:tcPr>
          <w:p w14:paraId="57AA190C">
            <w:pPr>
              <w:widowControl w:val="0"/>
              <w:jc w:val="center"/>
              <w:rPr>
                <w:rFonts w:hint="default" w:ascii="Times New Roman" w:hAnsi="Times New Roman" w:cs="Times New Roman" w:eastAsiaTheme="minorEastAsia"/>
                <w:color w:val="auto"/>
              </w:rPr>
            </w:pPr>
            <w:r>
              <w:rPr>
                <w:rFonts w:hint="default" w:ascii="Times New Roman" w:hAnsi="Times New Roman" w:cs="Times New Roman" w:eastAsiaTheme="minorEastAsia"/>
                <w:color w:val="auto"/>
              </w:rPr>
              <w:t>评标方法</w:t>
            </w:r>
          </w:p>
        </w:tc>
        <w:tc>
          <w:tcPr>
            <w:tcW w:w="4265" w:type="dxa"/>
            <w:noWrap w:val="0"/>
            <w:vAlign w:val="top"/>
          </w:tcPr>
          <w:p w14:paraId="07323FE0">
            <w:pPr>
              <w:widowControl w:val="0"/>
              <w:jc w:val="center"/>
              <w:rPr>
                <w:rFonts w:hint="default" w:ascii="Times New Roman" w:hAnsi="Times New Roman" w:cs="Times New Roman" w:eastAsiaTheme="minorEastAsia"/>
                <w:color w:val="auto"/>
              </w:rPr>
            </w:pPr>
            <w:r>
              <w:rPr>
                <w:rFonts w:hint="default" w:ascii="Times New Roman" w:hAnsi="Times New Roman" w:cs="Times New Roman" w:eastAsiaTheme="minorEastAsia"/>
                <w:color w:val="auto"/>
              </w:rPr>
              <w:t>综合评分法</w:t>
            </w:r>
          </w:p>
        </w:tc>
      </w:tr>
      <w:tr w14:paraId="29F7D7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noWrap w:val="0"/>
            <w:vAlign w:val="top"/>
          </w:tcPr>
          <w:p w14:paraId="2AFA13C7">
            <w:pPr>
              <w:widowControl w:val="0"/>
              <w:jc w:val="center"/>
              <w:rPr>
                <w:rFonts w:hint="default" w:ascii="Times New Roman" w:hAnsi="Times New Roman" w:cs="Times New Roman" w:eastAsiaTheme="minorEastAsia"/>
                <w:color w:val="auto"/>
              </w:rPr>
            </w:pPr>
            <w:r>
              <w:rPr>
                <w:rFonts w:hint="default" w:ascii="Times New Roman" w:hAnsi="Times New Roman" w:cs="Times New Roman" w:eastAsiaTheme="minorEastAsia"/>
                <w:color w:val="auto"/>
              </w:rPr>
              <w:t>候选中标供应商家数</w:t>
            </w:r>
          </w:p>
        </w:tc>
        <w:tc>
          <w:tcPr>
            <w:tcW w:w="4265" w:type="dxa"/>
            <w:noWrap w:val="0"/>
            <w:vAlign w:val="top"/>
          </w:tcPr>
          <w:p w14:paraId="744BF364">
            <w:pPr>
              <w:widowControl w:val="0"/>
              <w:jc w:val="center"/>
              <w:rPr>
                <w:rFonts w:hint="default" w:ascii="Times New Roman" w:hAnsi="Times New Roman" w:cs="Times New Roman" w:eastAsiaTheme="minorEastAsia"/>
                <w:color w:val="auto"/>
                <w:lang w:eastAsia="zh-CN"/>
              </w:rPr>
            </w:pPr>
            <w:r>
              <w:rPr>
                <w:rFonts w:hint="default" w:ascii="Times New Roman" w:hAnsi="Times New Roman" w:cs="Times New Roman" w:eastAsiaTheme="minorEastAsia"/>
                <w:color w:val="auto"/>
                <w:lang w:val="en-US" w:eastAsia="zh-CN"/>
              </w:rPr>
              <w:t>3</w:t>
            </w:r>
          </w:p>
        </w:tc>
      </w:tr>
      <w:tr w14:paraId="74003F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noWrap w:val="0"/>
            <w:vAlign w:val="top"/>
          </w:tcPr>
          <w:p w14:paraId="5EB68677">
            <w:pPr>
              <w:widowControl w:val="0"/>
              <w:jc w:val="center"/>
              <w:rPr>
                <w:rFonts w:hint="default" w:ascii="Times New Roman" w:hAnsi="Times New Roman" w:cs="Times New Roman" w:eastAsiaTheme="minorEastAsia"/>
                <w:color w:val="auto"/>
              </w:rPr>
            </w:pPr>
            <w:r>
              <w:rPr>
                <w:rFonts w:hint="default" w:ascii="Times New Roman" w:hAnsi="Times New Roman" w:cs="Times New Roman" w:eastAsiaTheme="minorEastAsia"/>
                <w:color w:val="auto"/>
              </w:rPr>
              <w:t>中标供应商家数</w:t>
            </w:r>
          </w:p>
        </w:tc>
        <w:tc>
          <w:tcPr>
            <w:tcW w:w="4265" w:type="dxa"/>
            <w:noWrap w:val="0"/>
            <w:vAlign w:val="top"/>
          </w:tcPr>
          <w:p w14:paraId="27EDA00D">
            <w:pPr>
              <w:widowControl w:val="0"/>
              <w:jc w:val="center"/>
              <w:rPr>
                <w:rFonts w:hint="default" w:ascii="Times New Roman" w:hAnsi="Times New Roman" w:cs="Times New Roman" w:eastAsiaTheme="minorEastAsia"/>
                <w:color w:val="auto"/>
              </w:rPr>
            </w:pPr>
            <w:r>
              <w:rPr>
                <w:rFonts w:hint="default" w:ascii="Times New Roman" w:hAnsi="Times New Roman" w:cs="Times New Roman" w:eastAsiaTheme="minorEastAsia"/>
                <w:color w:val="auto"/>
              </w:rPr>
              <w:t>1</w:t>
            </w:r>
          </w:p>
        </w:tc>
      </w:tr>
    </w:tbl>
    <w:p w14:paraId="3BBBD084">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cs="Times New Roman"/>
          <w:b/>
          <w:bCs/>
          <w:highlight w:val="none"/>
          <w:lang w:val="en-US" w:eastAsia="zh-CN"/>
        </w:rPr>
      </w:pPr>
    </w:p>
    <w:p w14:paraId="5757CBF4">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highlight w:val="none"/>
        </w:rPr>
      </w:pPr>
      <w:r>
        <w:rPr>
          <w:rFonts w:hint="default" w:ascii="Times New Roman" w:hAnsi="Times New Roman" w:eastAsia="宋体" w:cs="Times New Roman"/>
          <w:b/>
          <w:highlight w:val="none"/>
        </w:rPr>
        <w:t>（二）其他事项</w:t>
      </w:r>
      <w:bookmarkEnd w:id="35"/>
    </w:p>
    <w:p w14:paraId="4E7217C1">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bCs/>
          <w:highlight w:val="none"/>
        </w:rPr>
      </w:pPr>
      <w:r>
        <w:rPr>
          <w:rFonts w:hint="default" w:ascii="Times New Roman" w:hAnsi="Times New Roman" w:eastAsia="宋体" w:cs="Times New Roman"/>
          <w:b/>
          <w:bCs/>
          <w:highlight w:val="none"/>
        </w:rPr>
        <w:t>1、关于享受优惠政策的主体及价格扣除比例</w:t>
      </w:r>
    </w:p>
    <w:p w14:paraId="290BEBBB">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highlight w:val="none"/>
        </w:rPr>
      </w:pPr>
      <w:r>
        <w:rPr>
          <w:rFonts w:hint="default" w:ascii="Times New Roman" w:hAnsi="Times New Roman" w:eastAsia="宋体" w:cs="Times New Roman"/>
          <w:highlight w:val="none"/>
        </w:rPr>
        <w:t>（1）投标人提供的货物（以招标文件用户需求书“货物清单明细”的“货物名称”一栏为准）全部均由优惠主体制造，则对其投标总价</w:t>
      </w:r>
      <w:r>
        <w:rPr>
          <w:rFonts w:hint="default" w:ascii="Times New Roman" w:hAnsi="Times New Roman" w:eastAsia="宋体" w:cs="Times New Roman"/>
          <w:color w:val="0000FF"/>
          <w:highlight w:val="none"/>
        </w:rPr>
        <w:t>给予</w:t>
      </w:r>
      <w:r>
        <w:rPr>
          <w:rFonts w:hint="default" w:ascii="Times New Roman" w:hAnsi="Times New Roman" w:eastAsia="宋体" w:cs="Times New Roman"/>
          <w:color w:val="0000FF"/>
          <w:highlight w:val="none"/>
          <w:u w:val="none"/>
          <w:lang w:eastAsia="zh-CN"/>
        </w:rPr>
        <w:t>【</w:t>
      </w:r>
      <w:r>
        <w:rPr>
          <w:rFonts w:hint="eastAsia" w:cs="Times New Roman"/>
          <w:color w:val="0000FF"/>
          <w:highlight w:val="none"/>
          <w:u w:val="none"/>
          <w:lang w:val="en-US" w:eastAsia="zh-CN"/>
        </w:rPr>
        <w:t>10</w:t>
      </w:r>
      <w:r>
        <w:rPr>
          <w:rFonts w:hint="default" w:ascii="Times New Roman" w:hAnsi="Times New Roman" w:eastAsia="宋体" w:cs="Times New Roman"/>
          <w:color w:val="0000FF"/>
          <w:highlight w:val="none"/>
          <w:u w:val="none"/>
        </w:rPr>
        <w:t>%</w:t>
      </w:r>
      <w:r>
        <w:rPr>
          <w:rFonts w:hint="default" w:ascii="Times New Roman" w:hAnsi="Times New Roman" w:eastAsia="宋体" w:cs="Times New Roman"/>
          <w:color w:val="0000FF"/>
          <w:highlight w:val="none"/>
          <w:u w:val="none"/>
          <w:lang w:eastAsia="zh-CN"/>
        </w:rPr>
        <w:t>】</w:t>
      </w:r>
      <w:r>
        <w:rPr>
          <w:rFonts w:hint="default" w:ascii="Times New Roman" w:hAnsi="Times New Roman" w:eastAsia="宋体" w:cs="Times New Roman"/>
          <w:highlight w:val="none"/>
        </w:rPr>
        <w:t>的扣除，用扣除后的价格参与评审。满足多项优惠政策的企业，不重复享受多项价格扣除政策。</w:t>
      </w:r>
    </w:p>
    <w:p w14:paraId="3261405E">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highlight w:val="none"/>
        </w:rPr>
      </w:pPr>
      <w:r>
        <w:rPr>
          <w:rFonts w:hint="default" w:ascii="Times New Roman" w:hAnsi="Times New Roman" w:eastAsia="宋体" w:cs="Times New Roman"/>
          <w:highlight w:val="none"/>
        </w:rPr>
        <w:t>备注：（a）优惠主体包括小型企业、微型企业、监狱企业、残疾人福利性单位；中小企业是指在中华人民共和国境内依法设立，依据国务院批准的中小企业划分标准确定的中型企业、小型企业、微型企业，但与大企业的负责人为同一人，或者与大企业存在直接控股、管理关系的除外；符合中小企业划分标准的个体工商户，在政府采购活动中视同中小企业；(b)优惠主体制造是指货物由优惠主体生产且使用该优惠主体商号或者注册商标；投标人提供的货物既有优惠主体制造货物，又有非优惠主体制造货物的，不给予价格扣除。</w:t>
      </w:r>
    </w:p>
    <w:p w14:paraId="52C2A051">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highlight w:val="none"/>
        </w:rPr>
      </w:pPr>
      <w:r>
        <w:rPr>
          <w:rFonts w:hint="default" w:ascii="Times New Roman" w:hAnsi="Times New Roman" w:eastAsia="宋体" w:cs="Times New Roman"/>
          <w:highlight w:val="none"/>
        </w:rPr>
        <w:t>（2）根据</w:t>
      </w:r>
      <w:r>
        <w:rPr>
          <w:rFonts w:hint="default" w:ascii="Times New Roman" w:hAnsi="Times New Roman" w:eastAsia="宋体" w:cs="Times New Roman"/>
          <w:szCs w:val="22"/>
          <w:highlight w:val="none"/>
        </w:rPr>
        <w:t>《工业和信息化部、国家统计局、国家发展和改革委员会、财政部关于印发中小企业划型标准规定的通知》（工信部联企业〔2011〕300 号）</w:t>
      </w:r>
      <w:r>
        <w:rPr>
          <w:rFonts w:hint="default" w:ascii="Times New Roman" w:hAnsi="Times New Roman" w:eastAsia="宋体" w:cs="Times New Roman"/>
          <w:highlight w:val="none"/>
        </w:rPr>
        <w:t>，</w:t>
      </w:r>
      <w:bookmarkStart w:id="37" w:name="_Hlk71970739"/>
      <w:r>
        <w:rPr>
          <w:rFonts w:hint="default" w:ascii="Times New Roman" w:hAnsi="Times New Roman" w:eastAsia="宋体" w:cs="Times New Roman"/>
          <w:highlight w:val="none"/>
        </w:rPr>
        <w:t>本项目</w:t>
      </w:r>
      <w:bookmarkStart w:id="38" w:name="_Hlk71924718"/>
      <w:r>
        <w:rPr>
          <w:rFonts w:hint="default" w:ascii="Times New Roman" w:hAnsi="Times New Roman" w:eastAsia="宋体" w:cs="Times New Roman"/>
          <w:highlight w:val="none"/>
        </w:rPr>
        <w:t>采购标的对应的中小企业划分标准所属行业</w:t>
      </w:r>
      <w:bookmarkEnd w:id="38"/>
      <w:r>
        <w:rPr>
          <w:rFonts w:hint="default" w:ascii="Times New Roman" w:hAnsi="Times New Roman" w:eastAsia="宋体" w:cs="Times New Roman"/>
          <w:highlight w:val="none"/>
        </w:rPr>
        <w:t>为</w:t>
      </w:r>
      <w:r>
        <w:rPr>
          <w:rFonts w:hint="default" w:ascii="Times New Roman" w:hAnsi="Times New Roman" w:eastAsia="宋体" w:cs="Times New Roman"/>
          <w:color w:val="0000FF"/>
          <w:highlight w:val="none"/>
          <w:u w:val="none"/>
          <w:lang w:eastAsia="zh-CN"/>
        </w:rPr>
        <w:t>【</w:t>
      </w:r>
      <w:r>
        <w:rPr>
          <w:rFonts w:hint="eastAsia" w:cs="Times New Roman"/>
          <w:color w:val="0000FF"/>
          <w:highlight w:val="none"/>
          <w:u w:val="none"/>
          <w:lang w:val="en-US" w:eastAsia="zh-CN"/>
        </w:rPr>
        <w:t>其他未列明行业</w:t>
      </w:r>
      <w:r>
        <w:rPr>
          <w:rFonts w:hint="default" w:ascii="Times New Roman" w:hAnsi="Times New Roman" w:eastAsia="宋体" w:cs="Times New Roman"/>
          <w:color w:val="0000FF"/>
          <w:highlight w:val="none"/>
          <w:u w:val="none"/>
          <w:lang w:eastAsia="zh-CN"/>
        </w:rPr>
        <w:t>】</w:t>
      </w:r>
      <w:r>
        <w:rPr>
          <w:rFonts w:hint="default" w:ascii="Times New Roman" w:hAnsi="Times New Roman" w:eastAsia="宋体" w:cs="Times New Roman"/>
          <w:highlight w:val="none"/>
        </w:rPr>
        <w:t>。</w:t>
      </w:r>
      <w:bookmarkEnd w:id="37"/>
    </w:p>
    <w:p w14:paraId="1DE62606">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highlight w:val="none"/>
        </w:rPr>
      </w:pPr>
      <w:r>
        <w:rPr>
          <w:rFonts w:hint="default" w:ascii="Times New Roman" w:hAnsi="Times New Roman" w:eastAsia="宋体" w:cs="Times New Roman"/>
          <w:highlight w:val="none"/>
        </w:rPr>
        <w:t>（3）小型企业、微型企业、残疾人福利性单位作为优惠主体的认定资料为《中小企业声明函》、《残疾人福利性单位声明函》；监狱企业作为优惠主体的认定资料为省级以上监狱管理局、戒毒管理局出具的监狱企业证明文件。声明函样式见本招标文件第一册专用条款第三章“投标文件格式、附件”中“四、</w:t>
      </w:r>
      <w:r>
        <w:rPr>
          <w:rFonts w:hint="default" w:ascii="Times New Roman" w:hAnsi="Times New Roman" w:cs="Times New Roman"/>
          <w:highlight w:val="none"/>
          <w:lang w:eastAsia="zh-CN"/>
        </w:rPr>
        <w:t>投标人资格证明文件</w:t>
      </w:r>
      <w:r>
        <w:rPr>
          <w:rFonts w:hint="default" w:ascii="Times New Roman" w:hAnsi="Times New Roman" w:eastAsia="宋体" w:cs="Times New Roman"/>
          <w:highlight w:val="none"/>
        </w:rPr>
        <w:t>”章节提供的格式）。</w:t>
      </w:r>
    </w:p>
    <w:p w14:paraId="04541778">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 w:val="28"/>
          <w:szCs w:val="28"/>
          <w:highlight w:val="none"/>
        </w:rPr>
      </w:pPr>
      <w:r>
        <w:rPr>
          <w:rFonts w:hint="default" w:ascii="Times New Roman" w:hAnsi="Times New Roman" w:eastAsia="宋体" w:cs="Times New Roman"/>
          <w:highlight w:val="none"/>
        </w:rPr>
        <w:t>（4）享受价格扣除获得政府采购合同的，小微企业不得将合同分包给大中型企业。</w:t>
      </w:r>
    </w:p>
    <w:p w14:paraId="7245F362">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bCs/>
          <w:highlight w:val="none"/>
          <w:lang w:val="en-US" w:eastAsia="zh-CN"/>
        </w:rPr>
      </w:pPr>
      <w:r>
        <w:rPr>
          <w:rFonts w:hint="default" w:ascii="Times New Roman" w:hAnsi="Times New Roman" w:eastAsia="宋体" w:cs="Times New Roman"/>
          <w:b/>
          <w:bCs/>
          <w:highlight w:val="none"/>
          <w:lang w:val="en-US" w:eastAsia="zh-CN"/>
        </w:rPr>
        <w:t>2.</w:t>
      </w:r>
      <w:bookmarkStart w:id="39" w:name="_Hlk72594713"/>
      <w:r>
        <w:rPr>
          <w:rFonts w:hint="default" w:ascii="Times New Roman" w:hAnsi="Times New Roman" w:eastAsia="宋体" w:cs="Times New Roman"/>
          <w:b/>
          <w:bCs/>
          <w:highlight w:val="none"/>
          <w:lang w:val="en-US" w:eastAsia="zh-CN"/>
        </w:rPr>
        <w:t>关于政府采购订单融资政策</w:t>
      </w:r>
    </w:p>
    <w:p w14:paraId="709CCA89">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0" w:leftChars="0" w:right="0" w:firstLine="0" w:firstLineChars="0"/>
        <w:textAlignment w:val="auto"/>
        <w:rPr>
          <w:rFonts w:hint="default" w:ascii="Times New Roman" w:hAnsi="Times New Roman" w:eastAsia="宋体" w:cs="Times New Roman"/>
          <w:highlight w:val="none"/>
          <w:lang w:val="en-US" w:eastAsia="zh-CN"/>
        </w:rPr>
      </w:pPr>
      <w:r>
        <w:rPr>
          <w:rFonts w:hint="default" w:ascii="Times New Roman" w:hAnsi="Times New Roman" w:eastAsia="宋体" w:cs="Times New Roman"/>
          <w:highlight w:val="none"/>
          <w:lang w:val="en-US" w:eastAsia="zh-CN"/>
        </w:rPr>
        <w:t>为进一步拓宽企业融资渠道，降低企业融资成本，我市推出政府采购订单融资服务，中标（成交）供应商可以凭借中标（成交）通知书或政府采购合同向金融机构提出融资申请。订单融资具体流程可登录深圳交易集团融资服务平台（</w:t>
      </w:r>
      <w:r>
        <w:rPr>
          <w:rFonts w:hint="default" w:ascii="Times New Roman" w:hAnsi="Times New Roman" w:cs="Times New Roman"/>
          <w:highlight w:val="none"/>
          <w:lang w:val="en-US" w:eastAsia="zh-CN"/>
        </w:rPr>
        <w:t>https://trade.szggzy.com/ggzy/center/#/login</w:t>
      </w:r>
      <w:r>
        <w:rPr>
          <w:rFonts w:hint="default" w:ascii="Times New Roman" w:hAnsi="Times New Roman" w:eastAsia="宋体" w:cs="Times New Roman"/>
          <w:highlight w:val="none"/>
          <w:lang w:val="en-US" w:eastAsia="zh-CN"/>
        </w:rPr>
        <w:t>/financeplatform/），相关政策法规参阅深圳市政府采购监管网（http://zfcg.sz.gov.cn/）信息公开栏目。咨询电话：0755­88653386。</w:t>
      </w:r>
    </w:p>
    <w:bookmarkEnd w:id="39"/>
    <w:p w14:paraId="6AA1A4E8">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cs="Times New Roman"/>
          <w:b/>
          <w:bCs/>
          <w:color w:val="FF0000"/>
          <w:highlight w:val="none"/>
          <w:lang w:val="en-US" w:eastAsia="zh-CN"/>
        </w:rPr>
      </w:pPr>
      <w:bookmarkStart w:id="40" w:name="_Hlk76855768"/>
      <w:bookmarkStart w:id="41" w:name="_Hlk72594729"/>
      <w:r>
        <w:rPr>
          <w:rFonts w:hint="default" w:ascii="Times New Roman" w:hAnsi="Times New Roman" w:eastAsia="宋体" w:cs="Times New Roman"/>
          <w:b/>
          <w:bCs/>
          <w:color w:val="FF0000"/>
          <w:highlight w:val="none"/>
          <w:lang w:val="en-US" w:eastAsia="zh-CN"/>
        </w:rPr>
        <w:t>3.</w:t>
      </w:r>
      <w:r>
        <w:rPr>
          <w:rFonts w:hint="default" w:ascii="Times New Roman" w:hAnsi="Times New Roman" w:cs="Times New Roman"/>
          <w:b/>
          <w:bCs/>
          <w:color w:val="FF0000"/>
          <w:highlight w:val="none"/>
          <w:lang w:val="en-US" w:eastAsia="zh-CN"/>
        </w:rPr>
        <w:t>本项目向中标供应商收取代理服务费。</w:t>
      </w:r>
    </w:p>
    <w:bookmarkEnd w:id="40"/>
    <w:bookmarkEnd w:id="41"/>
    <w:p w14:paraId="5D92E77D">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highlight w:val="none"/>
        </w:rPr>
      </w:pPr>
      <w:r>
        <w:rPr>
          <w:rFonts w:hint="default" w:ascii="Times New Roman" w:hAnsi="Times New Roman" w:eastAsia="宋体" w:cs="Times New Roman"/>
          <w:highlight w:val="none"/>
        </w:rPr>
        <w:t>“中标供应商在领取《中标通知书》之前须向</w:t>
      </w:r>
      <w:r>
        <w:rPr>
          <w:rFonts w:hint="eastAsia" w:cs="Times New Roman"/>
          <w:highlight w:val="none"/>
          <w:lang w:eastAsia="zh-CN"/>
        </w:rPr>
        <w:t xml:space="preserve"> 深圳信德招标服务有限公司</w:t>
      </w:r>
      <w:r>
        <w:rPr>
          <w:rFonts w:hint="default" w:ascii="Times New Roman" w:hAnsi="Times New Roman" w:eastAsia="宋体" w:cs="Times New Roman"/>
          <w:highlight w:val="none"/>
        </w:rPr>
        <w:t>交纳代理服务费。若因中标供应商交纳代理服务费所产生的时间影响到合同签订的，由中标供应商自行承担责任。代理服务费标准参照深财购〔2018〕27号文</w:t>
      </w:r>
      <w:r>
        <w:rPr>
          <w:rFonts w:hint="default" w:ascii="Times New Roman" w:hAnsi="Times New Roman" w:eastAsia="宋体" w:cs="Times New Roman"/>
          <w:b/>
          <w:bCs/>
          <w:highlight w:val="none"/>
        </w:rPr>
        <w:t>所列标准</w:t>
      </w:r>
      <w:r>
        <w:rPr>
          <w:rFonts w:hint="default" w:ascii="Times New Roman" w:hAnsi="Times New Roman" w:eastAsia="宋体" w:cs="Times New Roman"/>
          <w:highlight w:val="none"/>
        </w:rPr>
        <w:t>收取。本项目类型为</w:t>
      </w:r>
      <w:r>
        <w:rPr>
          <w:rFonts w:hint="eastAsia" w:cs="Times New Roman"/>
          <w:b/>
          <w:bCs/>
          <w:highlight w:val="none"/>
          <w:u w:val="single"/>
          <w:lang w:val="en-US" w:eastAsia="zh-CN"/>
        </w:rPr>
        <w:t>服务</w:t>
      </w:r>
      <w:r>
        <w:rPr>
          <w:rFonts w:hint="default" w:ascii="Times New Roman" w:hAnsi="Times New Roman" w:eastAsia="宋体" w:cs="Times New Roman"/>
          <w:b/>
          <w:bCs/>
          <w:highlight w:val="none"/>
          <w:u w:val="single"/>
        </w:rPr>
        <w:t>类</w:t>
      </w:r>
      <w:r>
        <w:rPr>
          <w:rFonts w:hint="default" w:ascii="Times New Roman" w:hAnsi="Times New Roman" w:eastAsia="宋体" w:cs="Times New Roman"/>
          <w:highlight w:val="none"/>
        </w:rPr>
        <w:t>：</w:t>
      </w:r>
    </w:p>
    <w:p w14:paraId="538521D8">
      <w:pPr>
        <w:keepNext w:val="0"/>
        <w:keepLines w:val="0"/>
        <w:pageBreakBefore w:val="0"/>
        <w:widowControl w:val="0"/>
        <w:kinsoku/>
        <w:wordWrap/>
        <w:overflowPunct/>
        <w:topLinePunct w:val="0"/>
        <w:autoSpaceDE/>
        <w:autoSpaceDN/>
        <w:bidi w:val="0"/>
        <w:adjustRightInd/>
        <w:snapToGrid/>
        <w:spacing w:line="360" w:lineRule="auto"/>
        <w:ind w:left="0" w:firstLine="0" w:firstLineChars="0"/>
        <w:textAlignment w:val="auto"/>
        <w:outlineLvl w:val="9"/>
        <w:rPr>
          <w:rFonts w:hint="default" w:ascii="Times New Roman" w:hAnsi="Times New Roman" w:eastAsia="宋体" w:cs="Times New Roman"/>
          <w:highlight w:val="none"/>
        </w:rPr>
      </w:pPr>
      <w:r>
        <w:rPr>
          <w:rFonts w:hint="default" w:ascii="Times New Roman" w:hAnsi="Times New Roman" w:eastAsia="宋体" w:cs="Times New Roman"/>
          <w:highlight w:val="none"/>
        </w:rPr>
        <w:t>（</w:t>
      </w:r>
      <w:r>
        <w:rPr>
          <w:rFonts w:hint="default" w:ascii="Times New Roman" w:hAnsi="Times New Roman" w:eastAsia="宋体" w:cs="Times New Roman"/>
          <w:highlight w:val="none"/>
          <w:lang w:val="en-US" w:eastAsia="zh-CN"/>
        </w:rPr>
        <w:t>1</w:t>
      </w:r>
      <w:r>
        <w:rPr>
          <w:rFonts w:hint="default" w:ascii="Times New Roman" w:hAnsi="Times New Roman" w:eastAsia="宋体" w:cs="Times New Roman"/>
          <w:highlight w:val="none"/>
        </w:rPr>
        <w:t>）代理服务费以《中标通知书》确定的中标金额作为计算基数，按差额定率累进法计算。</w:t>
      </w:r>
      <w:r>
        <w:rPr>
          <w:rFonts w:hint="eastAsia" w:ascii="Times New Roman" w:hAnsi="Times New Roman" w:eastAsia="宋体" w:cs="Times New Roman"/>
          <w:highlight w:val="none"/>
          <w:lang w:val="en-US" w:eastAsia="zh-CN"/>
        </w:rPr>
        <w:t>并</w:t>
      </w:r>
      <w:r>
        <w:rPr>
          <w:rFonts w:hint="default" w:ascii="Times New Roman" w:hAnsi="Times New Roman" w:eastAsia="宋体" w:cs="Times New Roman"/>
          <w:highlight w:val="none"/>
          <w:lang w:val="en-US"/>
        </w:rPr>
        <w:t>在此计算结果基础上下浮20 %，作为中标服务费，最低收费标准按参仟壹佰元整计取:</w:t>
      </w:r>
    </w:p>
    <w:p w14:paraId="7053602D">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highlight w:val="none"/>
        </w:rPr>
      </w:pPr>
      <w:r>
        <w:rPr>
          <w:rFonts w:hint="default" w:ascii="Times New Roman" w:hAnsi="Times New Roman" w:eastAsia="宋体" w:cs="Times New Roman"/>
          <w:highlight w:val="none"/>
        </w:rPr>
        <w:t>（</w:t>
      </w:r>
      <w:r>
        <w:rPr>
          <w:rFonts w:hint="default" w:ascii="Times New Roman" w:hAnsi="Times New Roman" w:eastAsia="宋体" w:cs="Times New Roman"/>
          <w:highlight w:val="none"/>
          <w:lang w:val="en-US" w:eastAsia="zh-CN"/>
        </w:rPr>
        <w:t>2</w:t>
      </w:r>
      <w:r>
        <w:rPr>
          <w:rFonts w:hint="default" w:ascii="Times New Roman" w:hAnsi="Times New Roman" w:eastAsia="宋体" w:cs="Times New Roman"/>
          <w:highlight w:val="none"/>
        </w:rPr>
        <w:t>）中标金额的各部分费率如下表：</w:t>
      </w:r>
    </w:p>
    <w:tbl>
      <w:tblPr>
        <w:tblStyle w:val="45"/>
        <w:tblW w:w="7638" w:type="dxa"/>
        <w:jc w:val="center"/>
        <w:tblLayout w:type="fixed"/>
        <w:tblCellMar>
          <w:top w:w="0" w:type="dxa"/>
          <w:left w:w="108" w:type="dxa"/>
          <w:bottom w:w="0" w:type="dxa"/>
          <w:right w:w="108" w:type="dxa"/>
        </w:tblCellMar>
      </w:tblPr>
      <w:tblGrid>
        <w:gridCol w:w="3302"/>
        <w:gridCol w:w="1461"/>
        <w:gridCol w:w="1415"/>
        <w:gridCol w:w="1460"/>
      </w:tblGrid>
      <w:tr w14:paraId="68067E2B">
        <w:tblPrEx>
          <w:tblCellMar>
            <w:top w:w="0" w:type="dxa"/>
            <w:left w:w="108" w:type="dxa"/>
            <w:bottom w:w="0" w:type="dxa"/>
            <w:right w:w="108" w:type="dxa"/>
          </w:tblCellMar>
        </w:tblPrEx>
        <w:trPr>
          <w:trHeight w:val="796" w:hRule="atLeast"/>
          <w:jc w:val="center"/>
        </w:trPr>
        <w:tc>
          <w:tcPr>
            <w:tcW w:w="3302" w:type="dxa"/>
            <w:tcBorders>
              <w:top w:val="single" w:color="auto" w:sz="4" w:space="0"/>
              <w:left w:val="single" w:color="auto" w:sz="4" w:space="0"/>
              <w:bottom w:val="single" w:color="auto" w:sz="4" w:space="0"/>
              <w:right w:val="single" w:color="auto" w:sz="4" w:space="0"/>
              <w:tl2br w:val="single" w:color="auto" w:sz="4" w:space="0"/>
            </w:tcBorders>
            <w:vAlign w:val="center"/>
          </w:tcPr>
          <w:p w14:paraId="19B113EF">
            <w:pPr>
              <w:keepNext w:val="0"/>
              <w:keepLines w:val="0"/>
              <w:pageBreakBefore w:val="0"/>
              <w:widowControl/>
              <w:kinsoku/>
              <w:wordWrap/>
              <w:overflowPunct/>
              <w:topLinePunct w:val="0"/>
              <w:autoSpaceDE/>
              <w:autoSpaceDN/>
              <w:bidi w:val="0"/>
              <w:adjustRightInd/>
              <w:snapToGrid w:val="0"/>
              <w:spacing w:line="360" w:lineRule="auto"/>
              <w:ind w:left="0" w:leftChars="0" w:right="0" w:rightChars="0" w:firstLine="2100" w:firstLineChars="1000"/>
              <w:textAlignment w:val="auto"/>
              <w:outlineLvl w:val="9"/>
              <w:rPr>
                <w:rFonts w:hint="default" w:ascii="Times New Roman" w:hAnsi="Times New Roman" w:eastAsia="宋体" w:cs="Times New Roman"/>
                <w:bCs/>
                <w:kern w:val="0"/>
                <w:sz w:val="21"/>
                <w:szCs w:val="21"/>
                <w:highlight w:val="none"/>
              </w:rPr>
            </w:pPr>
            <w:r>
              <w:rPr>
                <w:rFonts w:hint="default" w:ascii="Times New Roman" w:hAnsi="Times New Roman" w:eastAsia="宋体" w:cs="Times New Roman"/>
                <w:bCs/>
                <w:kern w:val="0"/>
                <w:sz w:val="21"/>
                <w:szCs w:val="21"/>
                <w:highlight w:val="none"/>
              </w:rPr>
              <w:t>类别</w:t>
            </w:r>
          </w:p>
          <w:p w14:paraId="3DAB931D">
            <w:pPr>
              <w:keepNext w:val="0"/>
              <w:keepLines w:val="0"/>
              <w:pageBreakBefore w:val="0"/>
              <w:widowControl/>
              <w:kinsoku/>
              <w:wordWrap/>
              <w:overflowPunct/>
              <w:topLinePunct w:val="0"/>
              <w:autoSpaceDE/>
              <w:autoSpaceDN/>
              <w:bidi w:val="0"/>
              <w:adjustRightInd/>
              <w:snapToGrid w:val="0"/>
              <w:spacing w:line="360" w:lineRule="auto"/>
              <w:ind w:left="0" w:leftChars="0" w:right="0" w:rightChars="0" w:firstLine="0" w:firstLineChars="0"/>
              <w:textAlignment w:val="auto"/>
              <w:outlineLvl w:val="9"/>
              <w:rPr>
                <w:rFonts w:hint="default" w:ascii="Times New Roman" w:hAnsi="Times New Roman" w:eastAsia="宋体" w:cs="Times New Roman"/>
                <w:bCs/>
                <w:kern w:val="0"/>
                <w:sz w:val="21"/>
                <w:szCs w:val="21"/>
                <w:highlight w:val="none"/>
              </w:rPr>
            </w:pPr>
            <w:r>
              <w:rPr>
                <w:rFonts w:hint="default" w:ascii="Times New Roman" w:hAnsi="Times New Roman" w:eastAsia="宋体" w:cs="Times New Roman"/>
                <w:bCs/>
                <w:kern w:val="0"/>
                <w:sz w:val="21"/>
                <w:szCs w:val="21"/>
                <w:highlight w:val="none"/>
              </w:rPr>
              <w:t>金额(万元)</w:t>
            </w:r>
          </w:p>
        </w:tc>
        <w:tc>
          <w:tcPr>
            <w:tcW w:w="1461" w:type="dxa"/>
            <w:tcBorders>
              <w:top w:val="single" w:color="auto" w:sz="4" w:space="0"/>
              <w:left w:val="single" w:color="auto" w:sz="4" w:space="0"/>
              <w:bottom w:val="single" w:color="auto" w:sz="4" w:space="0"/>
              <w:right w:val="single" w:color="auto" w:sz="4" w:space="0"/>
            </w:tcBorders>
            <w:vAlign w:val="center"/>
          </w:tcPr>
          <w:p w14:paraId="6907FDAD">
            <w:pPr>
              <w:keepNext w:val="0"/>
              <w:keepLines w:val="0"/>
              <w:pageBreakBefore w:val="0"/>
              <w:widowControl/>
              <w:kinsoku/>
              <w:wordWrap/>
              <w:overflowPunct/>
              <w:topLinePunct w:val="0"/>
              <w:autoSpaceDE/>
              <w:autoSpaceDN/>
              <w:bidi w:val="0"/>
              <w:adjustRightInd/>
              <w:snapToGrid w:val="0"/>
              <w:spacing w:line="360" w:lineRule="auto"/>
              <w:ind w:left="0" w:leftChars="0" w:right="0" w:rightChars="0" w:firstLine="0" w:firstLineChars="0"/>
              <w:jc w:val="center"/>
              <w:textAlignment w:val="auto"/>
              <w:outlineLvl w:val="9"/>
              <w:rPr>
                <w:rFonts w:hint="default" w:ascii="Times New Roman" w:hAnsi="Times New Roman" w:eastAsia="宋体" w:cs="Times New Roman"/>
                <w:bCs/>
                <w:color w:val="auto"/>
                <w:kern w:val="0"/>
                <w:sz w:val="21"/>
                <w:szCs w:val="21"/>
                <w:highlight w:val="none"/>
              </w:rPr>
            </w:pPr>
            <w:r>
              <w:rPr>
                <w:rFonts w:hint="default" w:ascii="Times New Roman" w:hAnsi="Times New Roman" w:eastAsia="宋体" w:cs="Times New Roman"/>
                <w:bCs/>
                <w:color w:val="auto"/>
                <w:kern w:val="0"/>
                <w:sz w:val="21"/>
                <w:szCs w:val="21"/>
                <w:highlight w:val="none"/>
              </w:rPr>
              <w:t>工程采购</w:t>
            </w:r>
          </w:p>
        </w:tc>
        <w:tc>
          <w:tcPr>
            <w:tcW w:w="1415" w:type="dxa"/>
            <w:tcBorders>
              <w:top w:val="single" w:color="auto" w:sz="4" w:space="0"/>
              <w:left w:val="nil"/>
              <w:bottom w:val="single" w:color="auto" w:sz="4" w:space="0"/>
              <w:right w:val="single" w:color="auto" w:sz="4" w:space="0"/>
            </w:tcBorders>
            <w:vAlign w:val="center"/>
          </w:tcPr>
          <w:p w14:paraId="54D7D4C9">
            <w:pPr>
              <w:keepNext w:val="0"/>
              <w:keepLines w:val="0"/>
              <w:pageBreakBefore w:val="0"/>
              <w:widowControl/>
              <w:kinsoku/>
              <w:wordWrap/>
              <w:overflowPunct/>
              <w:topLinePunct w:val="0"/>
              <w:autoSpaceDE/>
              <w:autoSpaceDN/>
              <w:bidi w:val="0"/>
              <w:adjustRightInd/>
              <w:snapToGrid w:val="0"/>
              <w:spacing w:line="360" w:lineRule="auto"/>
              <w:ind w:left="0" w:leftChars="0" w:right="0" w:rightChars="0" w:firstLine="0" w:firstLineChars="0"/>
              <w:jc w:val="center"/>
              <w:textAlignment w:val="auto"/>
              <w:outlineLvl w:val="9"/>
              <w:rPr>
                <w:rFonts w:hint="default" w:ascii="Times New Roman" w:hAnsi="Times New Roman" w:eastAsia="宋体" w:cs="Times New Roman"/>
                <w:bCs/>
                <w:color w:val="auto"/>
                <w:kern w:val="0"/>
                <w:sz w:val="21"/>
                <w:szCs w:val="21"/>
                <w:highlight w:val="none"/>
              </w:rPr>
            </w:pPr>
            <w:r>
              <w:rPr>
                <w:rFonts w:hint="default" w:ascii="Times New Roman" w:hAnsi="Times New Roman" w:eastAsia="宋体" w:cs="Times New Roman"/>
                <w:bCs/>
                <w:color w:val="auto"/>
                <w:kern w:val="0"/>
                <w:sz w:val="21"/>
                <w:szCs w:val="21"/>
                <w:highlight w:val="none"/>
              </w:rPr>
              <w:t>货物采购</w:t>
            </w:r>
          </w:p>
        </w:tc>
        <w:tc>
          <w:tcPr>
            <w:tcW w:w="1460" w:type="dxa"/>
            <w:tcBorders>
              <w:top w:val="single" w:color="auto" w:sz="4" w:space="0"/>
              <w:left w:val="nil"/>
              <w:bottom w:val="single" w:color="auto" w:sz="4" w:space="0"/>
              <w:right w:val="single" w:color="auto" w:sz="4" w:space="0"/>
            </w:tcBorders>
            <w:vAlign w:val="center"/>
          </w:tcPr>
          <w:p w14:paraId="7865E96D">
            <w:pPr>
              <w:keepNext w:val="0"/>
              <w:keepLines w:val="0"/>
              <w:pageBreakBefore w:val="0"/>
              <w:widowControl/>
              <w:kinsoku/>
              <w:wordWrap/>
              <w:overflowPunct/>
              <w:topLinePunct w:val="0"/>
              <w:autoSpaceDE/>
              <w:autoSpaceDN/>
              <w:bidi w:val="0"/>
              <w:adjustRightInd/>
              <w:snapToGrid w:val="0"/>
              <w:spacing w:line="360" w:lineRule="auto"/>
              <w:ind w:left="0" w:leftChars="0" w:right="0" w:rightChars="0" w:firstLine="0" w:firstLineChars="0"/>
              <w:jc w:val="center"/>
              <w:textAlignment w:val="auto"/>
              <w:outlineLvl w:val="9"/>
              <w:rPr>
                <w:rFonts w:hint="default" w:ascii="Times New Roman" w:hAnsi="Times New Roman" w:eastAsia="宋体" w:cs="Times New Roman"/>
                <w:bCs/>
                <w:color w:val="auto"/>
                <w:kern w:val="0"/>
                <w:sz w:val="21"/>
                <w:szCs w:val="21"/>
                <w:highlight w:val="none"/>
              </w:rPr>
            </w:pPr>
            <w:r>
              <w:rPr>
                <w:rFonts w:hint="default" w:ascii="Times New Roman" w:hAnsi="Times New Roman" w:eastAsia="宋体" w:cs="Times New Roman"/>
                <w:bCs/>
                <w:color w:val="auto"/>
                <w:kern w:val="0"/>
                <w:sz w:val="21"/>
                <w:szCs w:val="21"/>
                <w:highlight w:val="none"/>
              </w:rPr>
              <w:t>服务采购</w:t>
            </w:r>
          </w:p>
        </w:tc>
      </w:tr>
      <w:tr w14:paraId="17D615A4">
        <w:tblPrEx>
          <w:tblCellMar>
            <w:top w:w="0" w:type="dxa"/>
            <w:left w:w="108" w:type="dxa"/>
            <w:bottom w:w="0" w:type="dxa"/>
            <w:right w:w="108" w:type="dxa"/>
          </w:tblCellMar>
        </w:tblPrEx>
        <w:trPr>
          <w:trHeight w:val="435" w:hRule="atLeast"/>
          <w:jc w:val="center"/>
        </w:trPr>
        <w:tc>
          <w:tcPr>
            <w:tcW w:w="3302" w:type="dxa"/>
            <w:tcBorders>
              <w:top w:val="single" w:color="auto" w:sz="4" w:space="0"/>
              <w:left w:val="single" w:color="auto" w:sz="8" w:space="0"/>
              <w:bottom w:val="single" w:color="auto" w:sz="8" w:space="0"/>
              <w:right w:val="single" w:color="auto" w:sz="8" w:space="0"/>
            </w:tcBorders>
          </w:tcPr>
          <w:p w14:paraId="648B952F">
            <w:pPr>
              <w:keepNext w:val="0"/>
              <w:keepLines w:val="0"/>
              <w:pageBreakBefore w:val="0"/>
              <w:widowControl/>
              <w:kinsoku/>
              <w:wordWrap/>
              <w:overflowPunct/>
              <w:topLinePunct w:val="0"/>
              <w:autoSpaceDE/>
              <w:autoSpaceDN/>
              <w:bidi w:val="0"/>
              <w:adjustRightInd/>
              <w:snapToGrid w:val="0"/>
              <w:spacing w:line="360" w:lineRule="auto"/>
              <w:ind w:left="0" w:leftChars="0" w:right="0" w:rightChars="0" w:firstLine="0" w:firstLineChars="0"/>
              <w:jc w:val="center"/>
              <w:textAlignment w:val="auto"/>
              <w:outlineLvl w:val="9"/>
              <w:rPr>
                <w:rFonts w:hint="default" w:ascii="Times New Roman" w:hAnsi="Times New Roman" w:eastAsia="宋体" w:cs="Times New Roman"/>
                <w:bCs/>
                <w:kern w:val="0"/>
                <w:sz w:val="21"/>
                <w:szCs w:val="21"/>
                <w:highlight w:val="none"/>
              </w:rPr>
            </w:pPr>
            <w:r>
              <w:rPr>
                <w:rFonts w:hint="default" w:ascii="Times New Roman" w:hAnsi="Times New Roman" w:eastAsia="宋体" w:cs="Times New Roman"/>
                <w:bCs/>
                <w:kern w:val="0"/>
                <w:sz w:val="21"/>
                <w:szCs w:val="21"/>
                <w:highlight w:val="none"/>
              </w:rPr>
              <w:t>100以下</w:t>
            </w:r>
          </w:p>
        </w:tc>
        <w:tc>
          <w:tcPr>
            <w:tcW w:w="1461" w:type="dxa"/>
            <w:tcBorders>
              <w:top w:val="nil"/>
              <w:left w:val="nil"/>
              <w:bottom w:val="single" w:color="auto" w:sz="8" w:space="0"/>
              <w:right w:val="single" w:color="auto" w:sz="8" w:space="0"/>
            </w:tcBorders>
          </w:tcPr>
          <w:p w14:paraId="4B3B96B2">
            <w:pPr>
              <w:keepNext w:val="0"/>
              <w:keepLines w:val="0"/>
              <w:pageBreakBefore w:val="0"/>
              <w:widowControl/>
              <w:kinsoku/>
              <w:wordWrap/>
              <w:overflowPunct/>
              <w:topLinePunct w:val="0"/>
              <w:autoSpaceDE/>
              <w:autoSpaceDN/>
              <w:bidi w:val="0"/>
              <w:adjustRightInd/>
              <w:snapToGrid w:val="0"/>
              <w:spacing w:line="360" w:lineRule="auto"/>
              <w:ind w:left="0" w:leftChars="0" w:right="0" w:rightChars="0" w:firstLine="0" w:firstLineChars="0"/>
              <w:jc w:val="center"/>
              <w:textAlignment w:val="auto"/>
              <w:outlineLvl w:val="9"/>
              <w:rPr>
                <w:rFonts w:hint="default" w:ascii="Times New Roman" w:hAnsi="Times New Roman" w:eastAsia="宋体" w:cs="Times New Roman"/>
                <w:bCs/>
                <w:kern w:val="0"/>
                <w:sz w:val="21"/>
                <w:szCs w:val="21"/>
                <w:highlight w:val="none"/>
              </w:rPr>
            </w:pPr>
            <w:r>
              <w:rPr>
                <w:rFonts w:hint="default" w:ascii="Times New Roman" w:hAnsi="Times New Roman" w:eastAsia="宋体" w:cs="Times New Roman"/>
                <w:bCs/>
                <w:kern w:val="0"/>
                <w:sz w:val="21"/>
                <w:szCs w:val="21"/>
                <w:highlight w:val="none"/>
              </w:rPr>
              <w:t>1.00%</w:t>
            </w:r>
          </w:p>
        </w:tc>
        <w:tc>
          <w:tcPr>
            <w:tcW w:w="1415" w:type="dxa"/>
            <w:tcBorders>
              <w:top w:val="nil"/>
              <w:left w:val="nil"/>
              <w:bottom w:val="single" w:color="auto" w:sz="8" w:space="0"/>
              <w:right w:val="single" w:color="auto" w:sz="8" w:space="0"/>
            </w:tcBorders>
          </w:tcPr>
          <w:p w14:paraId="2B2EBED6">
            <w:pPr>
              <w:keepNext w:val="0"/>
              <w:keepLines w:val="0"/>
              <w:pageBreakBefore w:val="0"/>
              <w:widowControl/>
              <w:kinsoku/>
              <w:wordWrap/>
              <w:overflowPunct/>
              <w:topLinePunct w:val="0"/>
              <w:autoSpaceDE/>
              <w:autoSpaceDN/>
              <w:bidi w:val="0"/>
              <w:adjustRightInd/>
              <w:snapToGrid w:val="0"/>
              <w:spacing w:line="360" w:lineRule="auto"/>
              <w:ind w:left="0" w:leftChars="0" w:right="0" w:rightChars="0" w:firstLine="0" w:firstLineChars="0"/>
              <w:jc w:val="center"/>
              <w:textAlignment w:val="auto"/>
              <w:outlineLvl w:val="9"/>
              <w:rPr>
                <w:rFonts w:hint="default" w:ascii="Times New Roman" w:hAnsi="Times New Roman" w:eastAsia="宋体" w:cs="Times New Roman"/>
                <w:bCs/>
                <w:kern w:val="0"/>
                <w:sz w:val="21"/>
                <w:szCs w:val="21"/>
                <w:highlight w:val="none"/>
              </w:rPr>
            </w:pPr>
            <w:r>
              <w:rPr>
                <w:rFonts w:hint="default" w:ascii="Times New Roman" w:hAnsi="Times New Roman" w:eastAsia="宋体" w:cs="Times New Roman"/>
                <w:bCs/>
                <w:kern w:val="0"/>
                <w:sz w:val="21"/>
                <w:szCs w:val="21"/>
                <w:highlight w:val="none"/>
              </w:rPr>
              <w:t>1.50%</w:t>
            </w:r>
          </w:p>
        </w:tc>
        <w:tc>
          <w:tcPr>
            <w:tcW w:w="1460" w:type="dxa"/>
            <w:tcBorders>
              <w:top w:val="nil"/>
              <w:left w:val="nil"/>
              <w:bottom w:val="single" w:color="auto" w:sz="8" w:space="0"/>
              <w:right w:val="single" w:color="auto" w:sz="8" w:space="0"/>
            </w:tcBorders>
          </w:tcPr>
          <w:p w14:paraId="3A60109D">
            <w:pPr>
              <w:keepNext w:val="0"/>
              <w:keepLines w:val="0"/>
              <w:pageBreakBefore w:val="0"/>
              <w:widowControl/>
              <w:kinsoku/>
              <w:wordWrap/>
              <w:overflowPunct/>
              <w:topLinePunct w:val="0"/>
              <w:autoSpaceDE/>
              <w:autoSpaceDN/>
              <w:bidi w:val="0"/>
              <w:adjustRightInd/>
              <w:snapToGrid w:val="0"/>
              <w:spacing w:line="360" w:lineRule="auto"/>
              <w:ind w:left="0" w:leftChars="0" w:right="0" w:rightChars="0" w:firstLine="0" w:firstLineChars="0"/>
              <w:jc w:val="center"/>
              <w:textAlignment w:val="auto"/>
              <w:outlineLvl w:val="9"/>
              <w:rPr>
                <w:rFonts w:hint="default" w:ascii="Times New Roman" w:hAnsi="Times New Roman" w:eastAsia="宋体" w:cs="Times New Roman"/>
                <w:bCs/>
                <w:kern w:val="0"/>
                <w:sz w:val="21"/>
                <w:szCs w:val="21"/>
                <w:highlight w:val="none"/>
              </w:rPr>
            </w:pPr>
            <w:r>
              <w:rPr>
                <w:rFonts w:hint="default" w:ascii="Times New Roman" w:hAnsi="Times New Roman" w:eastAsia="宋体" w:cs="Times New Roman"/>
                <w:bCs/>
                <w:kern w:val="0"/>
                <w:sz w:val="21"/>
                <w:szCs w:val="21"/>
                <w:highlight w:val="none"/>
              </w:rPr>
              <w:t>1.50%</w:t>
            </w:r>
          </w:p>
        </w:tc>
      </w:tr>
      <w:tr w14:paraId="72E73A88">
        <w:tblPrEx>
          <w:tblCellMar>
            <w:top w:w="0" w:type="dxa"/>
            <w:left w:w="108" w:type="dxa"/>
            <w:bottom w:w="0" w:type="dxa"/>
            <w:right w:w="108" w:type="dxa"/>
          </w:tblCellMar>
        </w:tblPrEx>
        <w:trPr>
          <w:trHeight w:val="454" w:hRule="atLeast"/>
          <w:jc w:val="center"/>
        </w:trPr>
        <w:tc>
          <w:tcPr>
            <w:tcW w:w="3302" w:type="dxa"/>
            <w:tcBorders>
              <w:top w:val="nil"/>
              <w:left w:val="single" w:color="auto" w:sz="8" w:space="0"/>
              <w:bottom w:val="single" w:color="auto" w:sz="8" w:space="0"/>
              <w:right w:val="single" w:color="auto" w:sz="8" w:space="0"/>
            </w:tcBorders>
          </w:tcPr>
          <w:p w14:paraId="3CA479B9">
            <w:pPr>
              <w:keepNext w:val="0"/>
              <w:keepLines w:val="0"/>
              <w:pageBreakBefore w:val="0"/>
              <w:widowControl/>
              <w:kinsoku/>
              <w:wordWrap/>
              <w:overflowPunct/>
              <w:topLinePunct w:val="0"/>
              <w:autoSpaceDE/>
              <w:autoSpaceDN/>
              <w:bidi w:val="0"/>
              <w:adjustRightInd/>
              <w:snapToGrid w:val="0"/>
              <w:spacing w:line="360" w:lineRule="auto"/>
              <w:ind w:left="0" w:leftChars="0" w:right="0" w:rightChars="0" w:firstLine="0" w:firstLineChars="0"/>
              <w:jc w:val="center"/>
              <w:textAlignment w:val="auto"/>
              <w:outlineLvl w:val="9"/>
              <w:rPr>
                <w:rFonts w:hint="default" w:ascii="Times New Roman" w:hAnsi="Times New Roman" w:eastAsia="宋体" w:cs="Times New Roman"/>
                <w:bCs/>
                <w:kern w:val="0"/>
                <w:sz w:val="21"/>
                <w:szCs w:val="21"/>
                <w:highlight w:val="none"/>
              </w:rPr>
            </w:pPr>
            <w:r>
              <w:rPr>
                <w:rFonts w:hint="default" w:ascii="Times New Roman" w:hAnsi="Times New Roman" w:eastAsia="宋体" w:cs="Times New Roman"/>
                <w:bCs/>
                <w:kern w:val="0"/>
                <w:sz w:val="21"/>
                <w:szCs w:val="21"/>
                <w:highlight w:val="none"/>
              </w:rPr>
              <w:t>100-500</w:t>
            </w:r>
          </w:p>
        </w:tc>
        <w:tc>
          <w:tcPr>
            <w:tcW w:w="1461" w:type="dxa"/>
            <w:tcBorders>
              <w:top w:val="nil"/>
              <w:left w:val="nil"/>
              <w:bottom w:val="single" w:color="auto" w:sz="8" w:space="0"/>
              <w:right w:val="single" w:color="auto" w:sz="8" w:space="0"/>
            </w:tcBorders>
          </w:tcPr>
          <w:p w14:paraId="1897A069">
            <w:pPr>
              <w:keepNext w:val="0"/>
              <w:keepLines w:val="0"/>
              <w:pageBreakBefore w:val="0"/>
              <w:widowControl/>
              <w:kinsoku/>
              <w:wordWrap/>
              <w:overflowPunct/>
              <w:topLinePunct w:val="0"/>
              <w:autoSpaceDE/>
              <w:autoSpaceDN/>
              <w:bidi w:val="0"/>
              <w:adjustRightInd/>
              <w:snapToGrid w:val="0"/>
              <w:spacing w:line="360" w:lineRule="auto"/>
              <w:ind w:left="0" w:leftChars="0" w:right="0" w:rightChars="0" w:firstLine="0" w:firstLineChars="0"/>
              <w:jc w:val="center"/>
              <w:textAlignment w:val="auto"/>
              <w:outlineLvl w:val="9"/>
              <w:rPr>
                <w:rFonts w:hint="default" w:ascii="Times New Roman" w:hAnsi="Times New Roman" w:eastAsia="宋体" w:cs="Times New Roman"/>
                <w:bCs/>
                <w:kern w:val="0"/>
                <w:sz w:val="21"/>
                <w:szCs w:val="21"/>
                <w:highlight w:val="none"/>
              </w:rPr>
            </w:pPr>
            <w:r>
              <w:rPr>
                <w:rFonts w:hint="default" w:ascii="Times New Roman" w:hAnsi="Times New Roman" w:eastAsia="宋体" w:cs="Times New Roman"/>
                <w:bCs/>
                <w:kern w:val="0"/>
                <w:sz w:val="21"/>
                <w:szCs w:val="21"/>
                <w:highlight w:val="none"/>
              </w:rPr>
              <w:t>0.70%</w:t>
            </w:r>
          </w:p>
        </w:tc>
        <w:tc>
          <w:tcPr>
            <w:tcW w:w="1415" w:type="dxa"/>
            <w:tcBorders>
              <w:top w:val="nil"/>
              <w:left w:val="nil"/>
              <w:bottom w:val="single" w:color="auto" w:sz="8" w:space="0"/>
              <w:right w:val="single" w:color="auto" w:sz="8" w:space="0"/>
            </w:tcBorders>
          </w:tcPr>
          <w:p w14:paraId="386B80B2">
            <w:pPr>
              <w:keepNext w:val="0"/>
              <w:keepLines w:val="0"/>
              <w:pageBreakBefore w:val="0"/>
              <w:widowControl/>
              <w:kinsoku/>
              <w:wordWrap/>
              <w:overflowPunct/>
              <w:topLinePunct w:val="0"/>
              <w:autoSpaceDE/>
              <w:autoSpaceDN/>
              <w:bidi w:val="0"/>
              <w:adjustRightInd/>
              <w:snapToGrid w:val="0"/>
              <w:spacing w:line="360" w:lineRule="auto"/>
              <w:ind w:left="0" w:leftChars="0" w:right="0" w:rightChars="0" w:firstLine="0" w:firstLineChars="0"/>
              <w:jc w:val="center"/>
              <w:textAlignment w:val="auto"/>
              <w:outlineLvl w:val="9"/>
              <w:rPr>
                <w:rFonts w:hint="default" w:ascii="Times New Roman" w:hAnsi="Times New Roman" w:eastAsia="宋体" w:cs="Times New Roman"/>
                <w:bCs/>
                <w:kern w:val="0"/>
                <w:sz w:val="21"/>
                <w:szCs w:val="21"/>
                <w:highlight w:val="none"/>
              </w:rPr>
            </w:pPr>
            <w:r>
              <w:rPr>
                <w:rFonts w:hint="default" w:ascii="Times New Roman" w:hAnsi="Times New Roman" w:eastAsia="宋体" w:cs="Times New Roman"/>
                <w:bCs/>
                <w:kern w:val="0"/>
                <w:sz w:val="21"/>
                <w:szCs w:val="21"/>
                <w:highlight w:val="none"/>
              </w:rPr>
              <w:t>1.10%</w:t>
            </w:r>
          </w:p>
        </w:tc>
        <w:tc>
          <w:tcPr>
            <w:tcW w:w="1460" w:type="dxa"/>
            <w:tcBorders>
              <w:top w:val="nil"/>
              <w:left w:val="nil"/>
              <w:bottom w:val="single" w:color="auto" w:sz="8" w:space="0"/>
              <w:right w:val="single" w:color="auto" w:sz="8" w:space="0"/>
            </w:tcBorders>
          </w:tcPr>
          <w:p w14:paraId="6ECA933B">
            <w:pPr>
              <w:keepNext w:val="0"/>
              <w:keepLines w:val="0"/>
              <w:pageBreakBefore w:val="0"/>
              <w:widowControl/>
              <w:kinsoku/>
              <w:wordWrap/>
              <w:overflowPunct/>
              <w:topLinePunct w:val="0"/>
              <w:autoSpaceDE/>
              <w:autoSpaceDN/>
              <w:bidi w:val="0"/>
              <w:adjustRightInd/>
              <w:snapToGrid w:val="0"/>
              <w:spacing w:line="360" w:lineRule="auto"/>
              <w:ind w:left="0" w:leftChars="0" w:right="0" w:rightChars="0" w:firstLine="0" w:firstLineChars="0"/>
              <w:jc w:val="center"/>
              <w:textAlignment w:val="auto"/>
              <w:outlineLvl w:val="9"/>
              <w:rPr>
                <w:rFonts w:hint="default" w:ascii="Times New Roman" w:hAnsi="Times New Roman" w:eastAsia="宋体" w:cs="Times New Roman"/>
                <w:bCs/>
                <w:kern w:val="0"/>
                <w:sz w:val="21"/>
                <w:szCs w:val="21"/>
                <w:highlight w:val="none"/>
              </w:rPr>
            </w:pPr>
            <w:r>
              <w:rPr>
                <w:rFonts w:hint="default" w:ascii="Times New Roman" w:hAnsi="Times New Roman" w:eastAsia="宋体" w:cs="Times New Roman"/>
                <w:bCs/>
                <w:kern w:val="0"/>
                <w:sz w:val="21"/>
                <w:szCs w:val="21"/>
                <w:highlight w:val="none"/>
              </w:rPr>
              <w:t>0.80%</w:t>
            </w:r>
          </w:p>
        </w:tc>
      </w:tr>
      <w:tr w14:paraId="279D4178">
        <w:tblPrEx>
          <w:tblCellMar>
            <w:top w:w="0" w:type="dxa"/>
            <w:left w:w="108" w:type="dxa"/>
            <w:bottom w:w="0" w:type="dxa"/>
            <w:right w:w="108" w:type="dxa"/>
          </w:tblCellMar>
        </w:tblPrEx>
        <w:trPr>
          <w:trHeight w:val="454" w:hRule="atLeast"/>
          <w:jc w:val="center"/>
        </w:trPr>
        <w:tc>
          <w:tcPr>
            <w:tcW w:w="3302" w:type="dxa"/>
            <w:tcBorders>
              <w:top w:val="nil"/>
              <w:left w:val="single" w:color="auto" w:sz="8" w:space="0"/>
              <w:bottom w:val="single" w:color="auto" w:sz="8" w:space="0"/>
              <w:right w:val="single" w:color="auto" w:sz="8" w:space="0"/>
            </w:tcBorders>
          </w:tcPr>
          <w:p w14:paraId="75D5AB7F">
            <w:pPr>
              <w:keepNext w:val="0"/>
              <w:keepLines w:val="0"/>
              <w:pageBreakBefore w:val="0"/>
              <w:widowControl/>
              <w:kinsoku/>
              <w:wordWrap/>
              <w:overflowPunct/>
              <w:topLinePunct w:val="0"/>
              <w:autoSpaceDE/>
              <w:autoSpaceDN/>
              <w:bidi w:val="0"/>
              <w:adjustRightInd/>
              <w:snapToGrid w:val="0"/>
              <w:spacing w:line="360" w:lineRule="auto"/>
              <w:ind w:left="0" w:leftChars="0" w:right="0" w:rightChars="0" w:firstLine="0" w:firstLineChars="0"/>
              <w:jc w:val="center"/>
              <w:textAlignment w:val="auto"/>
              <w:outlineLvl w:val="9"/>
              <w:rPr>
                <w:rFonts w:hint="default" w:ascii="Times New Roman" w:hAnsi="Times New Roman" w:eastAsia="宋体" w:cs="Times New Roman"/>
                <w:bCs/>
                <w:kern w:val="0"/>
                <w:sz w:val="21"/>
                <w:szCs w:val="21"/>
                <w:highlight w:val="none"/>
              </w:rPr>
            </w:pPr>
            <w:r>
              <w:rPr>
                <w:rFonts w:hint="default" w:ascii="Times New Roman" w:hAnsi="Times New Roman" w:eastAsia="宋体" w:cs="Times New Roman"/>
                <w:bCs/>
                <w:kern w:val="0"/>
                <w:sz w:val="21"/>
                <w:szCs w:val="21"/>
                <w:highlight w:val="none"/>
              </w:rPr>
              <w:t>500-1000</w:t>
            </w:r>
          </w:p>
        </w:tc>
        <w:tc>
          <w:tcPr>
            <w:tcW w:w="1461" w:type="dxa"/>
            <w:tcBorders>
              <w:top w:val="nil"/>
              <w:left w:val="nil"/>
              <w:bottom w:val="single" w:color="auto" w:sz="8" w:space="0"/>
              <w:right w:val="single" w:color="auto" w:sz="8" w:space="0"/>
            </w:tcBorders>
          </w:tcPr>
          <w:p w14:paraId="2727C385">
            <w:pPr>
              <w:keepNext w:val="0"/>
              <w:keepLines w:val="0"/>
              <w:pageBreakBefore w:val="0"/>
              <w:widowControl/>
              <w:kinsoku/>
              <w:wordWrap/>
              <w:overflowPunct/>
              <w:topLinePunct w:val="0"/>
              <w:autoSpaceDE/>
              <w:autoSpaceDN/>
              <w:bidi w:val="0"/>
              <w:adjustRightInd/>
              <w:snapToGrid w:val="0"/>
              <w:spacing w:line="360" w:lineRule="auto"/>
              <w:ind w:left="0" w:leftChars="0" w:right="0" w:rightChars="0" w:firstLine="0" w:firstLineChars="0"/>
              <w:jc w:val="center"/>
              <w:textAlignment w:val="auto"/>
              <w:outlineLvl w:val="9"/>
              <w:rPr>
                <w:rFonts w:hint="default" w:ascii="Times New Roman" w:hAnsi="Times New Roman" w:eastAsia="宋体" w:cs="Times New Roman"/>
                <w:bCs/>
                <w:kern w:val="0"/>
                <w:sz w:val="21"/>
                <w:szCs w:val="21"/>
                <w:highlight w:val="none"/>
              </w:rPr>
            </w:pPr>
            <w:r>
              <w:rPr>
                <w:rFonts w:hint="default" w:ascii="Times New Roman" w:hAnsi="Times New Roman" w:eastAsia="宋体" w:cs="Times New Roman"/>
                <w:bCs/>
                <w:kern w:val="0"/>
                <w:sz w:val="21"/>
                <w:szCs w:val="21"/>
                <w:highlight w:val="none"/>
              </w:rPr>
              <w:t>0.55%</w:t>
            </w:r>
          </w:p>
        </w:tc>
        <w:tc>
          <w:tcPr>
            <w:tcW w:w="1415" w:type="dxa"/>
            <w:tcBorders>
              <w:top w:val="nil"/>
              <w:left w:val="nil"/>
              <w:bottom w:val="single" w:color="auto" w:sz="8" w:space="0"/>
              <w:right w:val="single" w:color="auto" w:sz="8" w:space="0"/>
            </w:tcBorders>
          </w:tcPr>
          <w:p w14:paraId="3322DC08">
            <w:pPr>
              <w:keepNext w:val="0"/>
              <w:keepLines w:val="0"/>
              <w:pageBreakBefore w:val="0"/>
              <w:widowControl/>
              <w:kinsoku/>
              <w:wordWrap/>
              <w:overflowPunct/>
              <w:topLinePunct w:val="0"/>
              <w:autoSpaceDE/>
              <w:autoSpaceDN/>
              <w:bidi w:val="0"/>
              <w:adjustRightInd/>
              <w:snapToGrid w:val="0"/>
              <w:spacing w:line="360" w:lineRule="auto"/>
              <w:ind w:left="0" w:leftChars="0" w:right="0" w:rightChars="0" w:firstLine="0" w:firstLineChars="0"/>
              <w:jc w:val="center"/>
              <w:textAlignment w:val="auto"/>
              <w:outlineLvl w:val="9"/>
              <w:rPr>
                <w:rFonts w:hint="default" w:ascii="Times New Roman" w:hAnsi="Times New Roman" w:eastAsia="宋体" w:cs="Times New Roman"/>
                <w:bCs/>
                <w:kern w:val="0"/>
                <w:sz w:val="21"/>
                <w:szCs w:val="21"/>
                <w:highlight w:val="none"/>
              </w:rPr>
            </w:pPr>
            <w:r>
              <w:rPr>
                <w:rFonts w:hint="default" w:ascii="Times New Roman" w:hAnsi="Times New Roman" w:eastAsia="宋体" w:cs="Times New Roman"/>
                <w:bCs/>
                <w:kern w:val="0"/>
                <w:sz w:val="21"/>
                <w:szCs w:val="21"/>
                <w:highlight w:val="none"/>
              </w:rPr>
              <w:t>0.80%</w:t>
            </w:r>
          </w:p>
        </w:tc>
        <w:tc>
          <w:tcPr>
            <w:tcW w:w="1460" w:type="dxa"/>
            <w:tcBorders>
              <w:top w:val="nil"/>
              <w:left w:val="nil"/>
              <w:bottom w:val="single" w:color="auto" w:sz="8" w:space="0"/>
              <w:right w:val="single" w:color="auto" w:sz="8" w:space="0"/>
            </w:tcBorders>
          </w:tcPr>
          <w:p w14:paraId="4A56540A">
            <w:pPr>
              <w:keepNext w:val="0"/>
              <w:keepLines w:val="0"/>
              <w:pageBreakBefore w:val="0"/>
              <w:widowControl/>
              <w:kinsoku/>
              <w:wordWrap/>
              <w:overflowPunct/>
              <w:topLinePunct w:val="0"/>
              <w:autoSpaceDE/>
              <w:autoSpaceDN/>
              <w:bidi w:val="0"/>
              <w:adjustRightInd/>
              <w:snapToGrid w:val="0"/>
              <w:spacing w:line="360" w:lineRule="auto"/>
              <w:ind w:left="0" w:leftChars="0" w:right="0" w:rightChars="0" w:firstLine="0" w:firstLineChars="0"/>
              <w:jc w:val="center"/>
              <w:textAlignment w:val="auto"/>
              <w:outlineLvl w:val="9"/>
              <w:rPr>
                <w:rFonts w:hint="default" w:ascii="Times New Roman" w:hAnsi="Times New Roman" w:eastAsia="宋体" w:cs="Times New Roman"/>
                <w:bCs/>
                <w:kern w:val="0"/>
                <w:sz w:val="21"/>
                <w:szCs w:val="21"/>
                <w:highlight w:val="none"/>
              </w:rPr>
            </w:pPr>
            <w:r>
              <w:rPr>
                <w:rFonts w:hint="default" w:ascii="Times New Roman" w:hAnsi="Times New Roman" w:eastAsia="宋体" w:cs="Times New Roman"/>
                <w:bCs/>
                <w:kern w:val="0"/>
                <w:sz w:val="21"/>
                <w:szCs w:val="21"/>
                <w:highlight w:val="none"/>
              </w:rPr>
              <w:t>0.45%</w:t>
            </w:r>
          </w:p>
        </w:tc>
      </w:tr>
      <w:tr w14:paraId="00010037">
        <w:tblPrEx>
          <w:tblCellMar>
            <w:top w:w="0" w:type="dxa"/>
            <w:left w:w="108" w:type="dxa"/>
            <w:bottom w:w="0" w:type="dxa"/>
            <w:right w:w="108" w:type="dxa"/>
          </w:tblCellMar>
        </w:tblPrEx>
        <w:trPr>
          <w:trHeight w:val="454" w:hRule="atLeast"/>
          <w:jc w:val="center"/>
        </w:trPr>
        <w:tc>
          <w:tcPr>
            <w:tcW w:w="3302" w:type="dxa"/>
            <w:tcBorders>
              <w:top w:val="nil"/>
              <w:left w:val="single" w:color="auto" w:sz="8" w:space="0"/>
              <w:bottom w:val="single" w:color="auto" w:sz="8" w:space="0"/>
              <w:right w:val="single" w:color="auto" w:sz="8" w:space="0"/>
            </w:tcBorders>
          </w:tcPr>
          <w:p w14:paraId="6657D144">
            <w:pPr>
              <w:keepNext w:val="0"/>
              <w:keepLines w:val="0"/>
              <w:pageBreakBefore w:val="0"/>
              <w:widowControl/>
              <w:kinsoku/>
              <w:wordWrap/>
              <w:overflowPunct/>
              <w:topLinePunct w:val="0"/>
              <w:autoSpaceDE/>
              <w:autoSpaceDN/>
              <w:bidi w:val="0"/>
              <w:adjustRightInd/>
              <w:snapToGrid w:val="0"/>
              <w:spacing w:line="360" w:lineRule="auto"/>
              <w:ind w:left="0" w:leftChars="0" w:right="0" w:rightChars="0" w:firstLine="0" w:firstLineChars="0"/>
              <w:jc w:val="center"/>
              <w:textAlignment w:val="auto"/>
              <w:outlineLvl w:val="9"/>
              <w:rPr>
                <w:rFonts w:hint="default" w:ascii="Times New Roman" w:hAnsi="Times New Roman" w:eastAsia="宋体" w:cs="Times New Roman"/>
                <w:bCs/>
                <w:kern w:val="0"/>
                <w:sz w:val="21"/>
                <w:szCs w:val="21"/>
                <w:highlight w:val="none"/>
              </w:rPr>
            </w:pPr>
            <w:r>
              <w:rPr>
                <w:rFonts w:hint="default" w:ascii="Times New Roman" w:hAnsi="Times New Roman" w:eastAsia="宋体" w:cs="Times New Roman"/>
                <w:bCs/>
                <w:kern w:val="0"/>
                <w:sz w:val="21"/>
                <w:szCs w:val="21"/>
                <w:highlight w:val="none"/>
              </w:rPr>
              <w:t>1000-5000</w:t>
            </w:r>
          </w:p>
        </w:tc>
        <w:tc>
          <w:tcPr>
            <w:tcW w:w="1461" w:type="dxa"/>
            <w:tcBorders>
              <w:top w:val="nil"/>
              <w:left w:val="nil"/>
              <w:bottom w:val="single" w:color="auto" w:sz="8" w:space="0"/>
              <w:right w:val="single" w:color="auto" w:sz="8" w:space="0"/>
            </w:tcBorders>
          </w:tcPr>
          <w:p w14:paraId="72712ED9">
            <w:pPr>
              <w:keepNext w:val="0"/>
              <w:keepLines w:val="0"/>
              <w:pageBreakBefore w:val="0"/>
              <w:widowControl/>
              <w:kinsoku/>
              <w:wordWrap/>
              <w:overflowPunct/>
              <w:topLinePunct w:val="0"/>
              <w:autoSpaceDE/>
              <w:autoSpaceDN/>
              <w:bidi w:val="0"/>
              <w:adjustRightInd/>
              <w:snapToGrid w:val="0"/>
              <w:spacing w:line="360" w:lineRule="auto"/>
              <w:ind w:left="0" w:leftChars="0" w:right="0" w:rightChars="0" w:firstLine="0" w:firstLineChars="0"/>
              <w:jc w:val="center"/>
              <w:textAlignment w:val="auto"/>
              <w:outlineLvl w:val="9"/>
              <w:rPr>
                <w:rFonts w:hint="default" w:ascii="Times New Roman" w:hAnsi="Times New Roman" w:eastAsia="宋体" w:cs="Times New Roman"/>
                <w:bCs/>
                <w:kern w:val="0"/>
                <w:sz w:val="21"/>
                <w:szCs w:val="21"/>
                <w:highlight w:val="none"/>
              </w:rPr>
            </w:pPr>
            <w:r>
              <w:rPr>
                <w:rFonts w:hint="default" w:ascii="Times New Roman" w:hAnsi="Times New Roman" w:eastAsia="宋体" w:cs="Times New Roman"/>
                <w:bCs/>
                <w:kern w:val="0"/>
                <w:sz w:val="21"/>
                <w:szCs w:val="21"/>
                <w:highlight w:val="none"/>
              </w:rPr>
              <w:t>0.35%</w:t>
            </w:r>
          </w:p>
        </w:tc>
        <w:tc>
          <w:tcPr>
            <w:tcW w:w="1415" w:type="dxa"/>
            <w:tcBorders>
              <w:top w:val="nil"/>
              <w:left w:val="nil"/>
              <w:bottom w:val="single" w:color="auto" w:sz="8" w:space="0"/>
              <w:right w:val="single" w:color="auto" w:sz="8" w:space="0"/>
            </w:tcBorders>
          </w:tcPr>
          <w:p w14:paraId="02AF5736">
            <w:pPr>
              <w:keepNext w:val="0"/>
              <w:keepLines w:val="0"/>
              <w:pageBreakBefore w:val="0"/>
              <w:widowControl/>
              <w:kinsoku/>
              <w:wordWrap/>
              <w:overflowPunct/>
              <w:topLinePunct w:val="0"/>
              <w:autoSpaceDE/>
              <w:autoSpaceDN/>
              <w:bidi w:val="0"/>
              <w:adjustRightInd/>
              <w:snapToGrid w:val="0"/>
              <w:spacing w:line="360" w:lineRule="auto"/>
              <w:ind w:left="0" w:leftChars="0" w:right="0" w:rightChars="0" w:firstLine="0" w:firstLineChars="0"/>
              <w:jc w:val="center"/>
              <w:textAlignment w:val="auto"/>
              <w:outlineLvl w:val="9"/>
              <w:rPr>
                <w:rFonts w:hint="default" w:ascii="Times New Roman" w:hAnsi="Times New Roman" w:eastAsia="宋体" w:cs="Times New Roman"/>
                <w:bCs/>
                <w:kern w:val="0"/>
                <w:sz w:val="21"/>
                <w:szCs w:val="21"/>
                <w:highlight w:val="none"/>
              </w:rPr>
            </w:pPr>
            <w:r>
              <w:rPr>
                <w:rFonts w:hint="default" w:ascii="Times New Roman" w:hAnsi="Times New Roman" w:eastAsia="宋体" w:cs="Times New Roman"/>
                <w:bCs/>
                <w:kern w:val="0"/>
                <w:sz w:val="21"/>
                <w:szCs w:val="21"/>
                <w:highlight w:val="none"/>
              </w:rPr>
              <w:t>0.50%</w:t>
            </w:r>
          </w:p>
        </w:tc>
        <w:tc>
          <w:tcPr>
            <w:tcW w:w="1460" w:type="dxa"/>
            <w:tcBorders>
              <w:top w:val="nil"/>
              <w:left w:val="nil"/>
              <w:bottom w:val="single" w:color="auto" w:sz="8" w:space="0"/>
              <w:right w:val="single" w:color="auto" w:sz="8" w:space="0"/>
            </w:tcBorders>
          </w:tcPr>
          <w:p w14:paraId="2129ABA8">
            <w:pPr>
              <w:keepNext w:val="0"/>
              <w:keepLines w:val="0"/>
              <w:pageBreakBefore w:val="0"/>
              <w:widowControl/>
              <w:kinsoku/>
              <w:wordWrap/>
              <w:overflowPunct/>
              <w:topLinePunct w:val="0"/>
              <w:autoSpaceDE/>
              <w:autoSpaceDN/>
              <w:bidi w:val="0"/>
              <w:adjustRightInd/>
              <w:snapToGrid w:val="0"/>
              <w:spacing w:line="360" w:lineRule="auto"/>
              <w:ind w:left="0" w:leftChars="0" w:right="0" w:rightChars="0" w:firstLine="0" w:firstLineChars="0"/>
              <w:jc w:val="center"/>
              <w:textAlignment w:val="auto"/>
              <w:outlineLvl w:val="9"/>
              <w:rPr>
                <w:rFonts w:hint="default" w:ascii="Times New Roman" w:hAnsi="Times New Roman" w:eastAsia="宋体" w:cs="Times New Roman"/>
                <w:bCs/>
                <w:kern w:val="0"/>
                <w:sz w:val="21"/>
                <w:szCs w:val="21"/>
                <w:highlight w:val="none"/>
              </w:rPr>
            </w:pPr>
            <w:r>
              <w:rPr>
                <w:rFonts w:hint="default" w:ascii="Times New Roman" w:hAnsi="Times New Roman" w:eastAsia="宋体" w:cs="Times New Roman"/>
                <w:bCs/>
                <w:kern w:val="0"/>
                <w:sz w:val="21"/>
                <w:szCs w:val="21"/>
                <w:highlight w:val="none"/>
              </w:rPr>
              <w:t>0.25%</w:t>
            </w:r>
          </w:p>
        </w:tc>
      </w:tr>
      <w:tr w14:paraId="57CC99F4">
        <w:tblPrEx>
          <w:tblCellMar>
            <w:top w:w="0" w:type="dxa"/>
            <w:left w:w="108" w:type="dxa"/>
            <w:bottom w:w="0" w:type="dxa"/>
            <w:right w:w="108" w:type="dxa"/>
          </w:tblCellMar>
        </w:tblPrEx>
        <w:trPr>
          <w:trHeight w:val="454" w:hRule="atLeast"/>
          <w:jc w:val="center"/>
        </w:trPr>
        <w:tc>
          <w:tcPr>
            <w:tcW w:w="3302" w:type="dxa"/>
            <w:tcBorders>
              <w:top w:val="nil"/>
              <w:left w:val="single" w:color="auto" w:sz="8" w:space="0"/>
              <w:bottom w:val="single" w:color="auto" w:sz="8" w:space="0"/>
              <w:right w:val="single" w:color="auto" w:sz="8" w:space="0"/>
            </w:tcBorders>
          </w:tcPr>
          <w:p w14:paraId="61D4D107">
            <w:pPr>
              <w:keepNext w:val="0"/>
              <w:keepLines w:val="0"/>
              <w:pageBreakBefore w:val="0"/>
              <w:widowControl/>
              <w:kinsoku/>
              <w:wordWrap/>
              <w:overflowPunct/>
              <w:topLinePunct w:val="0"/>
              <w:autoSpaceDE/>
              <w:autoSpaceDN/>
              <w:bidi w:val="0"/>
              <w:adjustRightInd/>
              <w:snapToGrid w:val="0"/>
              <w:spacing w:line="360" w:lineRule="auto"/>
              <w:ind w:left="0" w:leftChars="0" w:right="0" w:rightChars="0" w:firstLine="0" w:firstLineChars="0"/>
              <w:jc w:val="center"/>
              <w:textAlignment w:val="auto"/>
              <w:outlineLvl w:val="9"/>
              <w:rPr>
                <w:rFonts w:hint="default" w:ascii="Times New Roman" w:hAnsi="Times New Roman" w:eastAsia="宋体" w:cs="Times New Roman"/>
                <w:bCs/>
                <w:kern w:val="0"/>
                <w:sz w:val="21"/>
                <w:szCs w:val="21"/>
                <w:highlight w:val="none"/>
              </w:rPr>
            </w:pPr>
            <w:r>
              <w:rPr>
                <w:rFonts w:hint="default" w:ascii="Times New Roman" w:hAnsi="Times New Roman" w:eastAsia="宋体" w:cs="Times New Roman"/>
                <w:bCs/>
                <w:kern w:val="0"/>
                <w:sz w:val="21"/>
                <w:szCs w:val="21"/>
                <w:highlight w:val="none"/>
              </w:rPr>
              <w:t>5000-10000</w:t>
            </w:r>
          </w:p>
        </w:tc>
        <w:tc>
          <w:tcPr>
            <w:tcW w:w="1461" w:type="dxa"/>
            <w:tcBorders>
              <w:top w:val="nil"/>
              <w:left w:val="nil"/>
              <w:bottom w:val="single" w:color="auto" w:sz="8" w:space="0"/>
              <w:right w:val="single" w:color="auto" w:sz="8" w:space="0"/>
            </w:tcBorders>
          </w:tcPr>
          <w:p w14:paraId="390AB93F">
            <w:pPr>
              <w:keepNext w:val="0"/>
              <w:keepLines w:val="0"/>
              <w:pageBreakBefore w:val="0"/>
              <w:widowControl/>
              <w:kinsoku/>
              <w:wordWrap/>
              <w:overflowPunct/>
              <w:topLinePunct w:val="0"/>
              <w:autoSpaceDE/>
              <w:autoSpaceDN/>
              <w:bidi w:val="0"/>
              <w:adjustRightInd/>
              <w:snapToGrid w:val="0"/>
              <w:spacing w:line="360" w:lineRule="auto"/>
              <w:ind w:left="0" w:leftChars="0" w:right="0" w:rightChars="0" w:firstLine="0" w:firstLineChars="0"/>
              <w:jc w:val="center"/>
              <w:textAlignment w:val="auto"/>
              <w:outlineLvl w:val="9"/>
              <w:rPr>
                <w:rFonts w:hint="default" w:ascii="Times New Roman" w:hAnsi="Times New Roman" w:eastAsia="宋体" w:cs="Times New Roman"/>
                <w:bCs/>
                <w:kern w:val="0"/>
                <w:sz w:val="21"/>
                <w:szCs w:val="21"/>
                <w:highlight w:val="none"/>
              </w:rPr>
            </w:pPr>
            <w:r>
              <w:rPr>
                <w:rFonts w:hint="default" w:ascii="Times New Roman" w:hAnsi="Times New Roman" w:eastAsia="宋体" w:cs="Times New Roman"/>
                <w:bCs/>
                <w:kern w:val="0"/>
                <w:sz w:val="21"/>
                <w:szCs w:val="21"/>
                <w:highlight w:val="none"/>
              </w:rPr>
              <w:t>0.20%</w:t>
            </w:r>
          </w:p>
        </w:tc>
        <w:tc>
          <w:tcPr>
            <w:tcW w:w="1415" w:type="dxa"/>
            <w:tcBorders>
              <w:top w:val="nil"/>
              <w:left w:val="nil"/>
              <w:bottom w:val="single" w:color="auto" w:sz="8" w:space="0"/>
              <w:right w:val="single" w:color="auto" w:sz="8" w:space="0"/>
            </w:tcBorders>
          </w:tcPr>
          <w:p w14:paraId="5D230E3B">
            <w:pPr>
              <w:keepNext w:val="0"/>
              <w:keepLines w:val="0"/>
              <w:pageBreakBefore w:val="0"/>
              <w:widowControl/>
              <w:kinsoku/>
              <w:wordWrap/>
              <w:overflowPunct/>
              <w:topLinePunct w:val="0"/>
              <w:autoSpaceDE/>
              <w:autoSpaceDN/>
              <w:bidi w:val="0"/>
              <w:adjustRightInd/>
              <w:snapToGrid w:val="0"/>
              <w:spacing w:line="360" w:lineRule="auto"/>
              <w:ind w:left="0" w:leftChars="0" w:right="0" w:rightChars="0" w:firstLine="0" w:firstLineChars="0"/>
              <w:jc w:val="center"/>
              <w:textAlignment w:val="auto"/>
              <w:outlineLvl w:val="9"/>
              <w:rPr>
                <w:rFonts w:hint="default" w:ascii="Times New Roman" w:hAnsi="Times New Roman" w:eastAsia="宋体" w:cs="Times New Roman"/>
                <w:bCs/>
                <w:kern w:val="0"/>
                <w:sz w:val="21"/>
                <w:szCs w:val="21"/>
                <w:highlight w:val="none"/>
              </w:rPr>
            </w:pPr>
            <w:r>
              <w:rPr>
                <w:rFonts w:hint="default" w:ascii="Times New Roman" w:hAnsi="Times New Roman" w:eastAsia="宋体" w:cs="Times New Roman"/>
                <w:bCs/>
                <w:kern w:val="0"/>
                <w:sz w:val="21"/>
                <w:szCs w:val="21"/>
                <w:highlight w:val="none"/>
              </w:rPr>
              <w:t>0.25%</w:t>
            </w:r>
          </w:p>
        </w:tc>
        <w:tc>
          <w:tcPr>
            <w:tcW w:w="1460" w:type="dxa"/>
            <w:tcBorders>
              <w:top w:val="nil"/>
              <w:left w:val="nil"/>
              <w:bottom w:val="single" w:color="auto" w:sz="8" w:space="0"/>
              <w:right w:val="single" w:color="auto" w:sz="8" w:space="0"/>
            </w:tcBorders>
          </w:tcPr>
          <w:p w14:paraId="71DD6E4C">
            <w:pPr>
              <w:keepNext w:val="0"/>
              <w:keepLines w:val="0"/>
              <w:pageBreakBefore w:val="0"/>
              <w:widowControl/>
              <w:kinsoku/>
              <w:wordWrap/>
              <w:overflowPunct/>
              <w:topLinePunct w:val="0"/>
              <w:autoSpaceDE/>
              <w:autoSpaceDN/>
              <w:bidi w:val="0"/>
              <w:adjustRightInd/>
              <w:snapToGrid w:val="0"/>
              <w:spacing w:line="360" w:lineRule="auto"/>
              <w:ind w:left="0" w:leftChars="0" w:right="0" w:rightChars="0" w:firstLine="0" w:firstLineChars="0"/>
              <w:jc w:val="center"/>
              <w:textAlignment w:val="auto"/>
              <w:outlineLvl w:val="9"/>
              <w:rPr>
                <w:rFonts w:hint="default" w:ascii="Times New Roman" w:hAnsi="Times New Roman" w:eastAsia="宋体" w:cs="Times New Roman"/>
                <w:bCs/>
                <w:kern w:val="0"/>
                <w:sz w:val="21"/>
                <w:szCs w:val="21"/>
                <w:highlight w:val="none"/>
              </w:rPr>
            </w:pPr>
            <w:r>
              <w:rPr>
                <w:rFonts w:hint="default" w:ascii="Times New Roman" w:hAnsi="Times New Roman" w:eastAsia="宋体" w:cs="Times New Roman"/>
                <w:bCs/>
                <w:kern w:val="0"/>
                <w:sz w:val="21"/>
                <w:szCs w:val="21"/>
                <w:highlight w:val="none"/>
              </w:rPr>
              <w:t>0.10%</w:t>
            </w:r>
          </w:p>
        </w:tc>
      </w:tr>
      <w:tr w14:paraId="49335FF4">
        <w:tblPrEx>
          <w:tblCellMar>
            <w:top w:w="0" w:type="dxa"/>
            <w:left w:w="108" w:type="dxa"/>
            <w:bottom w:w="0" w:type="dxa"/>
            <w:right w:w="108" w:type="dxa"/>
          </w:tblCellMar>
        </w:tblPrEx>
        <w:trPr>
          <w:trHeight w:val="454" w:hRule="atLeast"/>
          <w:jc w:val="center"/>
        </w:trPr>
        <w:tc>
          <w:tcPr>
            <w:tcW w:w="3302" w:type="dxa"/>
            <w:tcBorders>
              <w:top w:val="nil"/>
              <w:left w:val="single" w:color="auto" w:sz="8" w:space="0"/>
              <w:bottom w:val="single" w:color="auto" w:sz="8" w:space="0"/>
              <w:right w:val="single" w:color="auto" w:sz="8" w:space="0"/>
            </w:tcBorders>
          </w:tcPr>
          <w:p w14:paraId="26F6CEBF">
            <w:pPr>
              <w:keepNext w:val="0"/>
              <w:keepLines w:val="0"/>
              <w:pageBreakBefore w:val="0"/>
              <w:widowControl/>
              <w:kinsoku/>
              <w:wordWrap/>
              <w:overflowPunct/>
              <w:topLinePunct w:val="0"/>
              <w:autoSpaceDE/>
              <w:autoSpaceDN/>
              <w:bidi w:val="0"/>
              <w:adjustRightInd/>
              <w:snapToGrid w:val="0"/>
              <w:spacing w:line="360" w:lineRule="auto"/>
              <w:ind w:left="0" w:leftChars="0" w:right="0" w:rightChars="0" w:firstLine="0" w:firstLineChars="0"/>
              <w:jc w:val="center"/>
              <w:textAlignment w:val="auto"/>
              <w:outlineLvl w:val="9"/>
              <w:rPr>
                <w:rFonts w:hint="default" w:ascii="Times New Roman" w:hAnsi="Times New Roman" w:eastAsia="宋体" w:cs="Times New Roman"/>
                <w:bCs/>
                <w:kern w:val="0"/>
                <w:sz w:val="21"/>
                <w:szCs w:val="21"/>
                <w:highlight w:val="none"/>
              </w:rPr>
            </w:pPr>
            <w:r>
              <w:rPr>
                <w:rFonts w:hint="default" w:ascii="Times New Roman" w:hAnsi="Times New Roman" w:eastAsia="宋体" w:cs="Times New Roman"/>
                <w:bCs/>
                <w:kern w:val="0"/>
                <w:sz w:val="21"/>
                <w:szCs w:val="21"/>
                <w:highlight w:val="none"/>
              </w:rPr>
              <w:t>10000-50000</w:t>
            </w:r>
          </w:p>
        </w:tc>
        <w:tc>
          <w:tcPr>
            <w:tcW w:w="1461" w:type="dxa"/>
            <w:tcBorders>
              <w:top w:val="nil"/>
              <w:left w:val="nil"/>
              <w:bottom w:val="single" w:color="auto" w:sz="8" w:space="0"/>
              <w:right w:val="single" w:color="auto" w:sz="8" w:space="0"/>
            </w:tcBorders>
          </w:tcPr>
          <w:p w14:paraId="746AB76A">
            <w:pPr>
              <w:keepNext w:val="0"/>
              <w:keepLines w:val="0"/>
              <w:pageBreakBefore w:val="0"/>
              <w:widowControl/>
              <w:kinsoku/>
              <w:wordWrap/>
              <w:overflowPunct/>
              <w:topLinePunct w:val="0"/>
              <w:autoSpaceDE/>
              <w:autoSpaceDN/>
              <w:bidi w:val="0"/>
              <w:adjustRightInd/>
              <w:snapToGrid w:val="0"/>
              <w:spacing w:line="360" w:lineRule="auto"/>
              <w:ind w:left="0" w:leftChars="0" w:right="0" w:rightChars="0" w:firstLine="0" w:firstLineChars="0"/>
              <w:jc w:val="center"/>
              <w:textAlignment w:val="auto"/>
              <w:outlineLvl w:val="9"/>
              <w:rPr>
                <w:rFonts w:hint="default" w:ascii="Times New Roman" w:hAnsi="Times New Roman" w:eastAsia="宋体" w:cs="Times New Roman"/>
                <w:bCs/>
                <w:kern w:val="0"/>
                <w:sz w:val="21"/>
                <w:szCs w:val="21"/>
                <w:highlight w:val="none"/>
              </w:rPr>
            </w:pPr>
            <w:r>
              <w:rPr>
                <w:rFonts w:hint="default" w:ascii="Times New Roman" w:hAnsi="Times New Roman" w:eastAsia="宋体" w:cs="Times New Roman"/>
                <w:bCs/>
                <w:kern w:val="0"/>
                <w:sz w:val="21"/>
                <w:szCs w:val="21"/>
                <w:highlight w:val="none"/>
              </w:rPr>
              <w:t>0.05%</w:t>
            </w:r>
          </w:p>
        </w:tc>
        <w:tc>
          <w:tcPr>
            <w:tcW w:w="1415" w:type="dxa"/>
            <w:tcBorders>
              <w:top w:val="nil"/>
              <w:left w:val="nil"/>
              <w:bottom w:val="single" w:color="auto" w:sz="8" w:space="0"/>
              <w:right w:val="single" w:color="auto" w:sz="8" w:space="0"/>
            </w:tcBorders>
          </w:tcPr>
          <w:p w14:paraId="08FEA2C1">
            <w:pPr>
              <w:keepNext w:val="0"/>
              <w:keepLines w:val="0"/>
              <w:pageBreakBefore w:val="0"/>
              <w:widowControl/>
              <w:kinsoku/>
              <w:wordWrap/>
              <w:overflowPunct/>
              <w:topLinePunct w:val="0"/>
              <w:autoSpaceDE/>
              <w:autoSpaceDN/>
              <w:bidi w:val="0"/>
              <w:adjustRightInd/>
              <w:snapToGrid w:val="0"/>
              <w:spacing w:line="360" w:lineRule="auto"/>
              <w:ind w:left="0" w:leftChars="0" w:right="0" w:rightChars="0" w:firstLine="0" w:firstLineChars="0"/>
              <w:jc w:val="center"/>
              <w:textAlignment w:val="auto"/>
              <w:outlineLvl w:val="9"/>
              <w:rPr>
                <w:rFonts w:hint="default" w:ascii="Times New Roman" w:hAnsi="Times New Roman" w:eastAsia="宋体" w:cs="Times New Roman"/>
                <w:bCs/>
                <w:kern w:val="0"/>
                <w:sz w:val="21"/>
                <w:szCs w:val="21"/>
                <w:highlight w:val="none"/>
              </w:rPr>
            </w:pPr>
            <w:r>
              <w:rPr>
                <w:rFonts w:hint="default" w:ascii="Times New Roman" w:hAnsi="Times New Roman" w:eastAsia="宋体" w:cs="Times New Roman"/>
                <w:bCs/>
                <w:kern w:val="0"/>
                <w:sz w:val="21"/>
                <w:szCs w:val="21"/>
                <w:highlight w:val="none"/>
              </w:rPr>
              <w:t>0.05%</w:t>
            </w:r>
          </w:p>
        </w:tc>
        <w:tc>
          <w:tcPr>
            <w:tcW w:w="1460" w:type="dxa"/>
            <w:tcBorders>
              <w:top w:val="nil"/>
              <w:left w:val="nil"/>
              <w:bottom w:val="single" w:color="auto" w:sz="8" w:space="0"/>
              <w:right w:val="single" w:color="auto" w:sz="8" w:space="0"/>
            </w:tcBorders>
          </w:tcPr>
          <w:p w14:paraId="03D61032">
            <w:pPr>
              <w:keepNext w:val="0"/>
              <w:keepLines w:val="0"/>
              <w:pageBreakBefore w:val="0"/>
              <w:widowControl/>
              <w:kinsoku/>
              <w:wordWrap/>
              <w:overflowPunct/>
              <w:topLinePunct w:val="0"/>
              <w:autoSpaceDE/>
              <w:autoSpaceDN/>
              <w:bidi w:val="0"/>
              <w:adjustRightInd/>
              <w:snapToGrid w:val="0"/>
              <w:spacing w:line="360" w:lineRule="auto"/>
              <w:ind w:left="0" w:leftChars="0" w:right="0" w:rightChars="0" w:firstLine="0" w:firstLineChars="0"/>
              <w:jc w:val="center"/>
              <w:textAlignment w:val="auto"/>
              <w:outlineLvl w:val="9"/>
              <w:rPr>
                <w:rFonts w:hint="default" w:ascii="Times New Roman" w:hAnsi="Times New Roman" w:eastAsia="宋体" w:cs="Times New Roman"/>
                <w:bCs/>
                <w:kern w:val="0"/>
                <w:sz w:val="21"/>
                <w:szCs w:val="21"/>
                <w:highlight w:val="none"/>
              </w:rPr>
            </w:pPr>
            <w:r>
              <w:rPr>
                <w:rFonts w:hint="default" w:ascii="Times New Roman" w:hAnsi="Times New Roman" w:eastAsia="宋体" w:cs="Times New Roman"/>
                <w:bCs/>
                <w:kern w:val="0"/>
                <w:sz w:val="21"/>
                <w:szCs w:val="21"/>
                <w:highlight w:val="none"/>
              </w:rPr>
              <w:t>0.05%</w:t>
            </w:r>
          </w:p>
        </w:tc>
      </w:tr>
      <w:tr w14:paraId="762D0591">
        <w:tblPrEx>
          <w:tblCellMar>
            <w:top w:w="0" w:type="dxa"/>
            <w:left w:w="108" w:type="dxa"/>
            <w:bottom w:w="0" w:type="dxa"/>
            <w:right w:w="108" w:type="dxa"/>
          </w:tblCellMar>
        </w:tblPrEx>
        <w:trPr>
          <w:trHeight w:val="454" w:hRule="atLeast"/>
          <w:jc w:val="center"/>
        </w:trPr>
        <w:tc>
          <w:tcPr>
            <w:tcW w:w="3302" w:type="dxa"/>
            <w:tcBorders>
              <w:top w:val="single" w:color="auto" w:sz="8" w:space="0"/>
              <w:left w:val="single" w:color="auto" w:sz="8" w:space="0"/>
              <w:bottom w:val="single" w:color="auto" w:sz="8" w:space="0"/>
              <w:right w:val="single" w:color="auto" w:sz="8" w:space="0"/>
            </w:tcBorders>
          </w:tcPr>
          <w:p w14:paraId="470AE22E">
            <w:pPr>
              <w:keepNext w:val="0"/>
              <w:keepLines w:val="0"/>
              <w:pageBreakBefore w:val="0"/>
              <w:widowControl/>
              <w:kinsoku/>
              <w:wordWrap/>
              <w:overflowPunct/>
              <w:topLinePunct w:val="0"/>
              <w:autoSpaceDE/>
              <w:autoSpaceDN/>
              <w:bidi w:val="0"/>
              <w:adjustRightInd/>
              <w:snapToGrid w:val="0"/>
              <w:spacing w:line="360" w:lineRule="auto"/>
              <w:ind w:left="0" w:leftChars="0" w:right="0" w:rightChars="0" w:firstLine="0" w:firstLineChars="0"/>
              <w:jc w:val="center"/>
              <w:textAlignment w:val="auto"/>
              <w:outlineLvl w:val="9"/>
              <w:rPr>
                <w:rFonts w:hint="default" w:ascii="Times New Roman" w:hAnsi="Times New Roman" w:eastAsia="宋体" w:cs="Times New Roman"/>
                <w:bCs/>
                <w:kern w:val="0"/>
                <w:sz w:val="21"/>
                <w:szCs w:val="21"/>
                <w:highlight w:val="none"/>
              </w:rPr>
            </w:pPr>
            <w:r>
              <w:rPr>
                <w:rFonts w:hint="default" w:ascii="Times New Roman" w:hAnsi="Times New Roman" w:eastAsia="宋体" w:cs="Times New Roman"/>
                <w:bCs/>
                <w:kern w:val="0"/>
                <w:sz w:val="21"/>
                <w:szCs w:val="21"/>
                <w:highlight w:val="none"/>
              </w:rPr>
              <w:t>50000-100000</w:t>
            </w:r>
          </w:p>
        </w:tc>
        <w:tc>
          <w:tcPr>
            <w:tcW w:w="1461" w:type="dxa"/>
            <w:tcBorders>
              <w:top w:val="single" w:color="auto" w:sz="8" w:space="0"/>
              <w:left w:val="single" w:color="auto" w:sz="8" w:space="0"/>
              <w:bottom w:val="single" w:color="auto" w:sz="8" w:space="0"/>
              <w:right w:val="single" w:color="auto" w:sz="8" w:space="0"/>
            </w:tcBorders>
          </w:tcPr>
          <w:p w14:paraId="1ED1D63A">
            <w:pPr>
              <w:keepNext w:val="0"/>
              <w:keepLines w:val="0"/>
              <w:pageBreakBefore w:val="0"/>
              <w:widowControl/>
              <w:kinsoku/>
              <w:wordWrap/>
              <w:overflowPunct/>
              <w:topLinePunct w:val="0"/>
              <w:autoSpaceDE/>
              <w:autoSpaceDN/>
              <w:bidi w:val="0"/>
              <w:adjustRightInd/>
              <w:snapToGrid w:val="0"/>
              <w:spacing w:line="360" w:lineRule="auto"/>
              <w:ind w:left="0" w:leftChars="0" w:right="0" w:rightChars="0" w:firstLine="0" w:firstLineChars="0"/>
              <w:jc w:val="center"/>
              <w:textAlignment w:val="auto"/>
              <w:outlineLvl w:val="9"/>
              <w:rPr>
                <w:rFonts w:hint="default" w:ascii="Times New Roman" w:hAnsi="Times New Roman" w:eastAsia="宋体" w:cs="Times New Roman"/>
                <w:bCs/>
                <w:kern w:val="0"/>
                <w:sz w:val="21"/>
                <w:szCs w:val="21"/>
                <w:highlight w:val="none"/>
              </w:rPr>
            </w:pPr>
            <w:r>
              <w:rPr>
                <w:rFonts w:hint="default" w:ascii="Times New Roman" w:hAnsi="Times New Roman" w:eastAsia="宋体" w:cs="Times New Roman"/>
                <w:bCs/>
                <w:kern w:val="0"/>
                <w:sz w:val="21"/>
                <w:szCs w:val="21"/>
                <w:highlight w:val="none"/>
              </w:rPr>
              <w:t>0.035%</w:t>
            </w:r>
          </w:p>
        </w:tc>
        <w:tc>
          <w:tcPr>
            <w:tcW w:w="1415" w:type="dxa"/>
            <w:tcBorders>
              <w:top w:val="single" w:color="auto" w:sz="8" w:space="0"/>
              <w:left w:val="single" w:color="auto" w:sz="8" w:space="0"/>
              <w:bottom w:val="single" w:color="auto" w:sz="8" w:space="0"/>
              <w:right w:val="single" w:color="auto" w:sz="8" w:space="0"/>
            </w:tcBorders>
          </w:tcPr>
          <w:p w14:paraId="0F03454B">
            <w:pPr>
              <w:keepNext w:val="0"/>
              <w:keepLines w:val="0"/>
              <w:pageBreakBefore w:val="0"/>
              <w:widowControl/>
              <w:kinsoku/>
              <w:wordWrap/>
              <w:overflowPunct/>
              <w:topLinePunct w:val="0"/>
              <w:autoSpaceDE/>
              <w:autoSpaceDN/>
              <w:bidi w:val="0"/>
              <w:adjustRightInd/>
              <w:snapToGrid w:val="0"/>
              <w:spacing w:line="360" w:lineRule="auto"/>
              <w:ind w:left="0" w:leftChars="0" w:right="0" w:rightChars="0" w:firstLine="0" w:firstLineChars="0"/>
              <w:jc w:val="center"/>
              <w:textAlignment w:val="auto"/>
              <w:outlineLvl w:val="9"/>
              <w:rPr>
                <w:rFonts w:hint="default" w:ascii="Times New Roman" w:hAnsi="Times New Roman" w:eastAsia="宋体" w:cs="Times New Roman"/>
                <w:bCs/>
                <w:kern w:val="0"/>
                <w:sz w:val="21"/>
                <w:szCs w:val="21"/>
                <w:highlight w:val="none"/>
              </w:rPr>
            </w:pPr>
            <w:r>
              <w:rPr>
                <w:rFonts w:hint="default" w:ascii="Times New Roman" w:hAnsi="Times New Roman" w:eastAsia="宋体" w:cs="Times New Roman"/>
                <w:bCs/>
                <w:kern w:val="0"/>
                <w:sz w:val="21"/>
                <w:szCs w:val="21"/>
                <w:highlight w:val="none"/>
              </w:rPr>
              <w:t>0.035%</w:t>
            </w:r>
          </w:p>
        </w:tc>
        <w:tc>
          <w:tcPr>
            <w:tcW w:w="1460" w:type="dxa"/>
            <w:tcBorders>
              <w:top w:val="single" w:color="auto" w:sz="8" w:space="0"/>
              <w:left w:val="single" w:color="auto" w:sz="8" w:space="0"/>
              <w:bottom w:val="single" w:color="auto" w:sz="8" w:space="0"/>
              <w:right w:val="single" w:color="auto" w:sz="8" w:space="0"/>
            </w:tcBorders>
          </w:tcPr>
          <w:p w14:paraId="74DF1402">
            <w:pPr>
              <w:keepNext w:val="0"/>
              <w:keepLines w:val="0"/>
              <w:pageBreakBefore w:val="0"/>
              <w:widowControl/>
              <w:kinsoku/>
              <w:wordWrap/>
              <w:overflowPunct/>
              <w:topLinePunct w:val="0"/>
              <w:autoSpaceDE/>
              <w:autoSpaceDN/>
              <w:bidi w:val="0"/>
              <w:adjustRightInd/>
              <w:snapToGrid w:val="0"/>
              <w:spacing w:line="360" w:lineRule="auto"/>
              <w:ind w:left="0" w:leftChars="0" w:right="0" w:rightChars="0" w:firstLine="0" w:firstLineChars="0"/>
              <w:jc w:val="center"/>
              <w:textAlignment w:val="auto"/>
              <w:outlineLvl w:val="9"/>
              <w:rPr>
                <w:rFonts w:hint="default" w:ascii="Times New Roman" w:hAnsi="Times New Roman" w:eastAsia="宋体" w:cs="Times New Roman"/>
                <w:bCs/>
                <w:kern w:val="0"/>
                <w:sz w:val="21"/>
                <w:szCs w:val="21"/>
                <w:highlight w:val="none"/>
              </w:rPr>
            </w:pPr>
            <w:r>
              <w:rPr>
                <w:rFonts w:hint="default" w:ascii="Times New Roman" w:hAnsi="Times New Roman" w:eastAsia="宋体" w:cs="Times New Roman"/>
                <w:bCs/>
                <w:kern w:val="0"/>
                <w:sz w:val="21"/>
                <w:szCs w:val="21"/>
                <w:highlight w:val="none"/>
              </w:rPr>
              <w:t>0.035%</w:t>
            </w:r>
          </w:p>
        </w:tc>
      </w:tr>
      <w:tr w14:paraId="0AA77209">
        <w:tblPrEx>
          <w:tblCellMar>
            <w:top w:w="0" w:type="dxa"/>
            <w:left w:w="108" w:type="dxa"/>
            <w:bottom w:w="0" w:type="dxa"/>
            <w:right w:w="108" w:type="dxa"/>
          </w:tblCellMar>
        </w:tblPrEx>
        <w:trPr>
          <w:trHeight w:val="454" w:hRule="atLeast"/>
          <w:jc w:val="center"/>
        </w:trPr>
        <w:tc>
          <w:tcPr>
            <w:tcW w:w="3302" w:type="dxa"/>
            <w:tcBorders>
              <w:top w:val="single" w:color="auto" w:sz="8" w:space="0"/>
              <w:left w:val="single" w:color="auto" w:sz="8" w:space="0"/>
              <w:bottom w:val="single" w:color="auto" w:sz="8" w:space="0"/>
              <w:right w:val="single" w:color="auto" w:sz="8" w:space="0"/>
            </w:tcBorders>
          </w:tcPr>
          <w:p w14:paraId="6FEFDC14">
            <w:pPr>
              <w:keepNext w:val="0"/>
              <w:keepLines w:val="0"/>
              <w:pageBreakBefore w:val="0"/>
              <w:widowControl/>
              <w:kinsoku/>
              <w:wordWrap/>
              <w:overflowPunct/>
              <w:topLinePunct w:val="0"/>
              <w:autoSpaceDE/>
              <w:autoSpaceDN/>
              <w:bidi w:val="0"/>
              <w:adjustRightInd/>
              <w:snapToGrid w:val="0"/>
              <w:spacing w:line="360" w:lineRule="auto"/>
              <w:ind w:left="0" w:leftChars="0" w:right="0" w:rightChars="0" w:firstLine="0" w:firstLineChars="0"/>
              <w:jc w:val="center"/>
              <w:textAlignment w:val="auto"/>
              <w:outlineLvl w:val="9"/>
              <w:rPr>
                <w:rFonts w:hint="default" w:ascii="Times New Roman" w:hAnsi="Times New Roman" w:eastAsia="宋体" w:cs="Times New Roman"/>
                <w:bCs/>
                <w:kern w:val="0"/>
                <w:sz w:val="21"/>
                <w:szCs w:val="21"/>
                <w:highlight w:val="none"/>
              </w:rPr>
            </w:pPr>
            <w:r>
              <w:rPr>
                <w:rFonts w:hint="default" w:ascii="Times New Roman" w:hAnsi="Times New Roman" w:eastAsia="宋体" w:cs="Times New Roman"/>
                <w:bCs/>
                <w:kern w:val="0"/>
                <w:sz w:val="21"/>
                <w:szCs w:val="21"/>
                <w:highlight w:val="none"/>
              </w:rPr>
              <w:t>100000-500000</w:t>
            </w:r>
          </w:p>
        </w:tc>
        <w:tc>
          <w:tcPr>
            <w:tcW w:w="1461" w:type="dxa"/>
            <w:tcBorders>
              <w:top w:val="single" w:color="auto" w:sz="8" w:space="0"/>
              <w:left w:val="single" w:color="auto" w:sz="8" w:space="0"/>
              <w:bottom w:val="single" w:color="auto" w:sz="8" w:space="0"/>
              <w:right w:val="single" w:color="auto" w:sz="8" w:space="0"/>
            </w:tcBorders>
          </w:tcPr>
          <w:p w14:paraId="601EBDB9">
            <w:pPr>
              <w:keepNext w:val="0"/>
              <w:keepLines w:val="0"/>
              <w:pageBreakBefore w:val="0"/>
              <w:widowControl/>
              <w:kinsoku/>
              <w:wordWrap/>
              <w:overflowPunct/>
              <w:topLinePunct w:val="0"/>
              <w:autoSpaceDE/>
              <w:autoSpaceDN/>
              <w:bidi w:val="0"/>
              <w:adjustRightInd/>
              <w:snapToGrid w:val="0"/>
              <w:spacing w:line="360" w:lineRule="auto"/>
              <w:ind w:left="0" w:leftChars="0" w:right="0" w:rightChars="0" w:firstLine="0" w:firstLineChars="0"/>
              <w:jc w:val="center"/>
              <w:textAlignment w:val="auto"/>
              <w:outlineLvl w:val="9"/>
              <w:rPr>
                <w:rFonts w:hint="default" w:ascii="Times New Roman" w:hAnsi="Times New Roman" w:eastAsia="宋体" w:cs="Times New Roman"/>
                <w:bCs/>
                <w:kern w:val="0"/>
                <w:sz w:val="21"/>
                <w:szCs w:val="21"/>
                <w:highlight w:val="none"/>
              </w:rPr>
            </w:pPr>
            <w:r>
              <w:rPr>
                <w:rFonts w:hint="default" w:ascii="Times New Roman" w:hAnsi="Times New Roman" w:eastAsia="宋体" w:cs="Times New Roman"/>
                <w:bCs/>
                <w:kern w:val="0"/>
                <w:sz w:val="21"/>
                <w:szCs w:val="21"/>
                <w:highlight w:val="none"/>
              </w:rPr>
              <w:t>0.008%</w:t>
            </w:r>
          </w:p>
        </w:tc>
        <w:tc>
          <w:tcPr>
            <w:tcW w:w="1415" w:type="dxa"/>
            <w:tcBorders>
              <w:top w:val="single" w:color="auto" w:sz="8" w:space="0"/>
              <w:left w:val="single" w:color="auto" w:sz="8" w:space="0"/>
              <w:bottom w:val="single" w:color="auto" w:sz="8" w:space="0"/>
              <w:right w:val="single" w:color="auto" w:sz="8" w:space="0"/>
            </w:tcBorders>
          </w:tcPr>
          <w:p w14:paraId="5ECDA970">
            <w:pPr>
              <w:keepNext w:val="0"/>
              <w:keepLines w:val="0"/>
              <w:pageBreakBefore w:val="0"/>
              <w:widowControl/>
              <w:kinsoku/>
              <w:wordWrap/>
              <w:overflowPunct/>
              <w:topLinePunct w:val="0"/>
              <w:autoSpaceDE/>
              <w:autoSpaceDN/>
              <w:bidi w:val="0"/>
              <w:adjustRightInd/>
              <w:snapToGrid w:val="0"/>
              <w:spacing w:line="360" w:lineRule="auto"/>
              <w:ind w:left="0" w:leftChars="0" w:right="0" w:rightChars="0" w:firstLine="0" w:firstLineChars="0"/>
              <w:jc w:val="center"/>
              <w:textAlignment w:val="auto"/>
              <w:outlineLvl w:val="9"/>
              <w:rPr>
                <w:rFonts w:hint="default" w:ascii="Times New Roman" w:hAnsi="Times New Roman" w:eastAsia="宋体" w:cs="Times New Roman"/>
                <w:bCs/>
                <w:kern w:val="0"/>
                <w:sz w:val="21"/>
                <w:szCs w:val="21"/>
                <w:highlight w:val="none"/>
              </w:rPr>
            </w:pPr>
            <w:r>
              <w:rPr>
                <w:rFonts w:hint="default" w:ascii="Times New Roman" w:hAnsi="Times New Roman" w:eastAsia="宋体" w:cs="Times New Roman"/>
                <w:bCs/>
                <w:kern w:val="0"/>
                <w:sz w:val="21"/>
                <w:szCs w:val="21"/>
                <w:highlight w:val="none"/>
              </w:rPr>
              <w:t>0.008%</w:t>
            </w:r>
          </w:p>
        </w:tc>
        <w:tc>
          <w:tcPr>
            <w:tcW w:w="1460" w:type="dxa"/>
            <w:tcBorders>
              <w:top w:val="single" w:color="auto" w:sz="8" w:space="0"/>
              <w:left w:val="single" w:color="auto" w:sz="8" w:space="0"/>
              <w:bottom w:val="single" w:color="auto" w:sz="8" w:space="0"/>
              <w:right w:val="single" w:color="auto" w:sz="8" w:space="0"/>
            </w:tcBorders>
          </w:tcPr>
          <w:p w14:paraId="0C6AE94C">
            <w:pPr>
              <w:keepNext w:val="0"/>
              <w:keepLines w:val="0"/>
              <w:pageBreakBefore w:val="0"/>
              <w:widowControl/>
              <w:kinsoku/>
              <w:wordWrap/>
              <w:overflowPunct/>
              <w:topLinePunct w:val="0"/>
              <w:autoSpaceDE/>
              <w:autoSpaceDN/>
              <w:bidi w:val="0"/>
              <w:adjustRightInd/>
              <w:snapToGrid w:val="0"/>
              <w:spacing w:line="360" w:lineRule="auto"/>
              <w:ind w:left="0" w:leftChars="0" w:right="0" w:rightChars="0" w:firstLine="0" w:firstLineChars="0"/>
              <w:jc w:val="center"/>
              <w:textAlignment w:val="auto"/>
              <w:outlineLvl w:val="9"/>
              <w:rPr>
                <w:rFonts w:hint="default" w:ascii="Times New Roman" w:hAnsi="Times New Roman" w:eastAsia="宋体" w:cs="Times New Roman"/>
                <w:bCs/>
                <w:kern w:val="0"/>
                <w:sz w:val="21"/>
                <w:szCs w:val="21"/>
                <w:highlight w:val="none"/>
              </w:rPr>
            </w:pPr>
            <w:r>
              <w:rPr>
                <w:rFonts w:hint="default" w:ascii="Times New Roman" w:hAnsi="Times New Roman" w:eastAsia="宋体" w:cs="Times New Roman"/>
                <w:bCs/>
                <w:kern w:val="0"/>
                <w:sz w:val="21"/>
                <w:szCs w:val="21"/>
                <w:highlight w:val="none"/>
              </w:rPr>
              <w:t>0.008%</w:t>
            </w:r>
          </w:p>
        </w:tc>
      </w:tr>
      <w:tr w14:paraId="764F9F11">
        <w:tblPrEx>
          <w:tblCellMar>
            <w:top w:w="0" w:type="dxa"/>
            <w:left w:w="108" w:type="dxa"/>
            <w:bottom w:w="0" w:type="dxa"/>
            <w:right w:w="108" w:type="dxa"/>
          </w:tblCellMar>
        </w:tblPrEx>
        <w:trPr>
          <w:trHeight w:val="454" w:hRule="atLeast"/>
          <w:jc w:val="center"/>
        </w:trPr>
        <w:tc>
          <w:tcPr>
            <w:tcW w:w="3302" w:type="dxa"/>
            <w:tcBorders>
              <w:top w:val="single" w:color="auto" w:sz="8" w:space="0"/>
              <w:left w:val="single" w:color="auto" w:sz="8" w:space="0"/>
              <w:bottom w:val="single" w:color="auto" w:sz="8" w:space="0"/>
              <w:right w:val="single" w:color="auto" w:sz="8" w:space="0"/>
            </w:tcBorders>
          </w:tcPr>
          <w:p w14:paraId="64B83038">
            <w:pPr>
              <w:keepNext w:val="0"/>
              <w:keepLines w:val="0"/>
              <w:pageBreakBefore w:val="0"/>
              <w:widowControl/>
              <w:kinsoku/>
              <w:wordWrap/>
              <w:overflowPunct/>
              <w:topLinePunct w:val="0"/>
              <w:autoSpaceDE/>
              <w:autoSpaceDN/>
              <w:bidi w:val="0"/>
              <w:adjustRightInd/>
              <w:snapToGrid w:val="0"/>
              <w:spacing w:line="360" w:lineRule="auto"/>
              <w:ind w:left="0" w:leftChars="0" w:right="0" w:rightChars="0" w:firstLine="0" w:firstLineChars="0"/>
              <w:jc w:val="center"/>
              <w:textAlignment w:val="auto"/>
              <w:outlineLvl w:val="9"/>
              <w:rPr>
                <w:rFonts w:hint="default" w:ascii="Times New Roman" w:hAnsi="Times New Roman" w:eastAsia="宋体" w:cs="Times New Roman"/>
                <w:bCs/>
                <w:kern w:val="0"/>
                <w:sz w:val="21"/>
                <w:szCs w:val="21"/>
                <w:highlight w:val="none"/>
              </w:rPr>
            </w:pPr>
            <w:r>
              <w:rPr>
                <w:rFonts w:hint="default" w:ascii="Times New Roman" w:hAnsi="Times New Roman" w:eastAsia="宋体" w:cs="Times New Roman"/>
                <w:bCs/>
                <w:kern w:val="0"/>
                <w:sz w:val="21"/>
                <w:szCs w:val="21"/>
                <w:highlight w:val="none"/>
              </w:rPr>
              <w:t>500000-1000000</w:t>
            </w:r>
          </w:p>
        </w:tc>
        <w:tc>
          <w:tcPr>
            <w:tcW w:w="1461" w:type="dxa"/>
            <w:tcBorders>
              <w:top w:val="single" w:color="auto" w:sz="8" w:space="0"/>
              <w:left w:val="single" w:color="auto" w:sz="8" w:space="0"/>
              <w:bottom w:val="single" w:color="auto" w:sz="8" w:space="0"/>
              <w:right w:val="single" w:color="auto" w:sz="8" w:space="0"/>
            </w:tcBorders>
          </w:tcPr>
          <w:p w14:paraId="4D7E160F">
            <w:pPr>
              <w:keepNext w:val="0"/>
              <w:keepLines w:val="0"/>
              <w:pageBreakBefore w:val="0"/>
              <w:widowControl/>
              <w:kinsoku/>
              <w:wordWrap/>
              <w:overflowPunct/>
              <w:topLinePunct w:val="0"/>
              <w:autoSpaceDE/>
              <w:autoSpaceDN/>
              <w:bidi w:val="0"/>
              <w:adjustRightInd/>
              <w:snapToGrid w:val="0"/>
              <w:spacing w:line="360" w:lineRule="auto"/>
              <w:ind w:left="0" w:leftChars="0" w:right="0" w:rightChars="0" w:firstLine="0" w:firstLineChars="0"/>
              <w:jc w:val="center"/>
              <w:textAlignment w:val="auto"/>
              <w:outlineLvl w:val="9"/>
              <w:rPr>
                <w:rFonts w:hint="default" w:ascii="Times New Roman" w:hAnsi="Times New Roman" w:eastAsia="宋体" w:cs="Times New Roman"/>
                <w:bCs/>
                <w:kern w:val="0"/>
                <w:sz w:val="21"/>
                <w:szCs w:val="21"/>
                <w:highlight w:val="none"/>
              </w:rPr>
            </w:pPr>
            <w:r>
              <w:rPr>
                <w:rFonts w:hint="default" w:ascii="Times New Roman" w:hAnsi="Times New Roman" w:eastAsia="宋体" w:cs="Times New Roman"/>
                <w:bCs/>
                <w:kern w:val="0"/>
                <w:sz w:val="21"/>
                <w:szCs w:val="21"/>
                <w:highlight w:val="none"/>
              </w:rPr>
              <w:t>0.006%</w:t>
            </w:r>
          </w:p>
        </w:tc>
        <w:tc>
          <w:tcPr>
            <w:tcW w:w="1415" w:type="dxa"/>
            <w:tcBorders>
              <w:top w:val="single" w:color="auto" w:sz="8" w:space="0"/>
              <w:left w:val="single" w:color="auto" w:sz="8" w:space="0"/>
              <w:bottom w:val="single" w:color="auto" w:sz="8" w:space="0"/>
              <w:right w:val="single" w:color="auto" w:sz="8" w:space="0"/>
            </w:tcBorders>
          </w:tcPr>
          <w:p w14:paraId="1EA9EBC6">
            <w:pPr>
              <w:keepNext w:val="0"/>
              <w:keepLines w:val="0"/>
              <w:pageBreakBefore w:val="0"/>
              <w:widowControl/>
              <w:kinsoku/>
              <w:wordWrap/>
              <w:overflowPunct/>
              <w:topLinePunct w:val="0"/>
              <w:autoSpaceDE/>
              <w:autoSpaceDN/>
              <w:bidi w:val="0"/>
              <w:adjustRightInd/>
              <w:snapToGrid w:val="0"/>
              <w:spacing w:line="360" w:lineRule="auto"/>
              <w:ind w:left="0" w:leftChars="0" w:right="0" w:rightChars="0" w:firstLine="0" w:firstLineChars="0"/>
              <w:jc w:val="center"/>
              <w:textAlignment w:val="auto"/>
              <w:outlineLvl w:val="9"/>
              <w:rPr>
                <w:rFonts w:hint="default" w:ascii="Times New Roman" w:hAnsi="Times New Roman" w:eastAsia="宋体" w:cs="Times New Roman"/>
                <w:bCs/>
                <w:kern w:val="0"/>
                <w:sz w:val="21"/>
                <w:szCs w:val="21"/>
                <w:highlight w:val="none"/>
              </w:rPr>
            </w:pPr>
            <w:r>
              <w:rPr>
                <w:rFonts w:hint="default" w:ascii="Times New Roman" w:hAnsi="Times New Roman" w:eastAsia="宋体" w:cs="Times New Roman"/>
                <w:bCs/>
                <w:kern w:val="0"/>
                <w:sz w:val="21"/>
                <w:szCs w:val="21"/>
                <w:highlight w:val="none"/>
              </w:rPr>
              <w:t>0.006%</w:t>
            </w:r>
          </w:p>
        </w:tc>
        <w:tc>
          <w:tcPr>
            <w:tcW w:w="1460" w:type="dxa"/>
            <w:tcBorders>
              <w:top w:val="single" w:color="auto" w:sz="8" w:space="0"/>
              <w:left w:val="single" w:color="auto" w:sz="8" w:space="0"/>
              <w:bottom w:val="single" w:color="auto" w:sz="8" w:space="0"/>
              <w:right w:val="single" w:color="auto" w:sz="8" w:space="0"/>
            </w:tcBorders>
          </w:tcPr>
          <w:p w14:paraId="2D6ECDAA">
            <w:pPr>
              <w:keepNext w:val="0"/>
              <w:keepLines w:val="0"/>
              <w:pageBreakBefore w:val="0"/>
              <w:widowControl/>
              <w:kinsoku/>
              <w:wordWrap/>
              <w:overflowPunct/>
              <w:topLinePunct w:val="0"/>
              <w:autoSpaceDE/>
              <w:autoSpaceDN/>
              <w:bidi w:val="0"/>
              <w:adjustRightInd/>
              <w:snapToGrid w:val="0"/>
              <w:spacing w:line="360" w:lineRule="auto"/>
              <w:ind w:left="0" w:leftChars="0" w:right="0" w:rightChars="0" w:firstLine="0" w:firstLineChars="0"/>
              <w:jc w:val="center"/>
              <w:textAlignment w:val="auto"/>
              <w:outlineLvl w:val="9"/>
              <w:rPr>
                <w:rFonts w:hint="default" w:ascii="Times New Roman" w:hAnsi="Times New Roman" w:eastAsia="宋体" w:cs="Times New Roman"/>
                <w:bCs/>
                <w:kern w:val="0"/>
                <w:sz w:val="21"/>
                <w:szCs w:val="21"/>
                <w:highlight w:val="none"/>
              </w:rPr>
            </w:pPr>
            <w:r>
              <w:rPr>
                <w:rFonts w:hint="default" w:ascii="Times New Roman" w:hAnsi="Times New Roman" w:eastAsia="宋体" w:cs="Times New Roman"/>
                <w:bCs/>
                <w:kern w:val="0"/>
                <w:sz w:val="21"/>
                <w:szCs w:val="21"/>
                <w:highlight w:val="none"/>
              </w:rPr>
              <w:t>0.006%</w:t>
            </w:r>
          </w:p>
        </w:tc>
      </w:tr>
      <w:tr w14:paraId="0909BDE7">
        <w:tblPrEx>
          <w:tblCellMar>
            <w:top w:w="0" w:type="dxa"/>
            <w:left w:w="108" w:type="dxa"/>
            <w:bottom w:w="0" w:type="dxa"/>
            <w:right w:w="108" w:type="dxa"/>
          </w:tblCellMar>
        </w:tblPrEx>
        <w:trPr>
          <w:trHeight w:val="489" w:hRule="atLeast"/>
          <w:jc w:val="center"/>
        </w:trPr>
        <w:tc>
          <w:tcPr>
            <w:tcW w:w="3302" w:type="dxa"/>
            <w:tcBorders>
              <w:top w:val="single" w:color="auto" w:sz="8" w:space="0"/>
              <w:left w:val="single" w:color="auto" w:sz="8" w:space="0"/>
              <w:bottom w:val="single" w:color="auto" w:sz="8" w:space="0"/>
              <w:right w:val="single" w:color="auto" w:sz="8" w:space="0"/>
            </w:tcBorders>
          </w:tcPr>
          <w:p w14:paraId="5899776E">
            <w:pPr>
              <w:keepNext w:val="0"/>
              <w:keepLines w:val="0"/>
              <w:pageBreakBefore w:val="0"/>
              <w:widowControl/>
              <w:kinsoku/>
              <w:wordWrap/>
              <w:overflowPunct/>
              <w:topLinePunct w:val="0"/>
              <w:autoSpaceDE/>
              <w:autoSpaceDN/>
              <w:bidi w:val="0"/>
              <w:adjustRightInd/>
              <w:snapToGrid w:val="0"/>
              <w:spacing w:line="360" w:lineRule="auto"/>
              <w:ind w:left="0" w:leftChars="0" w:right="0" w:rightChars="0" w:firstLine="0" w:firstLineChars="0"/>
              <w:jc w:val="center"/>
              <w:textAlignment w:val="auto"/>
              <w:outlineLvl w:val="9"/>
              <w:rPr>
                <w:rFonts w:hint="default" w:ascii="Times New Roman" w:hAnsi="Times New Roman" w:eastAsia="宋体" w:cs="Times New Roman"/>
                <w:bCs/>
                <w:kern w:val="0"/>
                <w:sz w:val="21"/>
                <w:szCs w:val="21"/>
                <w:highlight w:val="none"/>
              </w:rPr>
            </w:pPr>
            <w:r>
              <w:rPr>
                <w:rFonts w:hint="default" w:ascii="Times New Roman" w:hAnsi="Times New Roman" w:eastAsia="宋体" w:cs="Times New Roman"/>
                <w:bCs/>
                <w:kern w:val="0"/>
                <w:sz w:val="21"/>
                <w:szCs w:val="21"/>
                <w:highlight w:val="none"/>
              </w:rPr>
              <w:t>1000000以上</w:t>
            </w:r>
          </w:p>
        </w:tc>
        <w:tc>
          <w:tcPr>
            <w:tcW w:w="1461" w:type="dxa"/>
            <w:tcBorders>
              <w:top w:val="single" w:color="auto" w:sz="8" w:space="0"/>
              <w:left w:val="single" w:color="auto" w:sz="8" w:space="0"/>
              <w:bottom w:val="single" w:color="auto" w:sz="8" w:space="0"/>
              <w:right w:val="single" w:color="auto" w:sz="8" w:space="0"/>
            </w:tcBorders>
          </w:tcPr>
          <w:p w14:paraId="2CA10680">
            <w:pPr>
              <w:keepNext w:val="0"/>
              <w:keepLines w:val="0"/>
              <w:pageBreakBefore w:val="0"/>
              <w:widowControl/>
              <w:kinsoku/>
              <w:wordWrap/>
              <w:overflowPunct/>
              <w:topLinePunct w:val="0"/>
              <w:autoSpaceDE/>
              <w:autoSpaceDN/>
              <w:bidi w:val="0"/>
              <w:adjustRightInd/>
              <w:snapToGrid w:val="0"/>
              <w:spacing w:line="360" w:lineRule="auto"/>
              <w:ind w:left="0" w:leftChars="0" w:right="0" w:rightChars="0" w:firstLine="0" w:firstLineChars="0"/>
              <w:jc w:val="center"/>
              <w:textAlignment w:val="auto"/>
              <w:outlineLvl w:val="9"/>
              <w:rPr>
                <w:rFonts w:hint="default" w:ascii="Times New Roman" w:hAnsi="Times New Roman" w:eastAsia="宋体" w:cs="Times New Roman"/>
                <w:bCs/>
                <w:kern w:val="0"/>
                <w:sz w:val="21"/>
                <w:szCs w:val="21"/>
                <w:highlight w:val="none"/>
              </w:rPr>
            </w:pPr>
            <w:r>
              <w:rPr>
                <w:rFonts w:hint="default" w:ascii="Times New Roman" w:hAnsi="Times New Roman" w:eastAsia="宋体" w:cs="Times New Roman"/>
                <w:bCs/>
                <w:kern w:val="0"/>
                <w:sz w:val="21"/>
                <w:szCs w:val="21"/>
                <w:highlight w:val="none"/>
              </w:rPr>
              <w:t>0.004%</w:t>
            </w:r>
          </w:p>
        </w:tc>
        <w:tc>
          <w:tcPr>
            <w:tcW w:w="1415" w:type="dxa"/>
            <w:tcBorders>
              <w:top w:val="single" w:color="auto" w:sz="8" w:space="0"/>
              <w:left w:val="single" w:color="auto" w:sz="8" w:space="0"/>
              <w:bottom w:val="single" w:color="auto" w:sz="8" w:space="0"/>
              <w:right w:val="single" w:color="auto" w:sz="8" w:space="0"/>
            </w:tcBorders>
          </w:tcPr>
          <w:p w14:paraId="0DA0C066">
            <w:pPr>
              <w:keepNext w:val="0"/>
              <w:keepLines w:val="0"/>
              <w:pageBreakBefore w:val="0"/>
              <w:widowControl/>
              <w:kinsoku/>
              <w:wordWrap/>
              <w:overflowPunct/>
              <w:topLinePunct w:val="0"/>
              <w:autoSpaceDE/>
              <w:autoSpaceDN/>
              <w:bidi w:val="0"/>
              <w:adjustRightInd/>
              <w:snapToGrid w:val="0"/>
              <w:spacing w:line="360" w:lineRule="auto"/>
              <w:ind w:left="0" w:leftChars="0" w:right="0" w:rightChars="0" w:firstLine="0" w:firstLineChars="0"/>
              <w:jc w:val="center"/>
              <w:textAlignment w:val="auto"/>
              <w:outlineLvl w:val="9"/>
              <w:rPr>
                <w:rFonts w:hint="default" w:ascii="Times New Roman" w:hAnsi="Times New Roman" w:eastAsia="宋体" w:cs="Times New Roman"/>
                <w:bCs/>
                <w:kern w:val="0"/>
                <w:sz w:val="21"/>
                <w:szCs w:val="21"/>
                <w:highlight w:val="none"/>
              </w:rPr>
            </w:pPr>
            <w:r>
              <w:rPr>
                <w:rFonts w:hint="default" w:ascii="Times New Roman" w:hAnsi="Times New Roman" w:eastAsia="宋体" w:cs="Times New Roman"/>
                <w:bCs/>
                <w:kern w:val="0"/>
                <w:sz w:val="21"/>
                <w:szCs w:val="21"/>
                <w:highlight w:val="none"/>
              </w:rPr>
              <w:t>0.004%</w:t>
            </w:r>
          </w:p>
        </w:tc>
        <w:tc>
          <w:tcPr>
            <w:tcW w:w="1460" w:type="dxa"/>
            <w:tcBorders>
              <w:top w:val="single" w:color="auto" w:sz="8" w:space="0"/>
              <w:left w:val="single" w:color="auto" w:sz="8" w:space="0"/>
              <w:bottom w:val="single" w:color="auto" w:sz="8" w:space="0"/>
              <w:right w:val="single" w:color="auto" w:sz="8" w:space="0"/>
            </w:tcBorders>
          </w:tcPr>
          <w:p w14:paraId="0944D407">
            <w:pPr>
              <w:keepNext w:val="0"/>
              <w:keepLines w:val="0"/>
              <w:pageBreakBefore w:val="0"/>
              <w:widowControl/>
              <w:kinsoku/>
              <w:wordWrap/>
              <w:overflowPunct/>
              <w:topLinePunct w:val="0"/>
              <w:autoSpaceDE/>
              <w:autoSpaceDN/>
              <w:bidi w:val="0"/>
              <w:adjustRightInd/>
              <w:snapToGrid w:val="0"/>
              <w:spacing w:line="360" w:lineRule="auto"/>
              <w:ind w:left="0" w:leftChars="0" w:right="0" w:rightChars="0" w:firstLine="0" w:firstLineChars="0"/>
              <w:jc w:val="center"/>
              <w:textAlignment w:val="auto"/>
              <w:outlineLvl w:val="9"/>
              <w:rPr>
                <w:rFonts w:hint="default" w:ascii="Times New Roman" w:hAnsi="Times New Roman" w:eastAsia="宋体" w:cs="Times New Roman"/>
                <w:bCs/>
                <w:kern w:val="0"/>
                <w:sz w:val="21"/>
                <w:szCs w:val="21"/>
                <w:highlight w:val="none"/>
              </w:rPr>
            </w:pPr>
            <w:r>
              <w:rPr>
                <w:rFonts w:hint="default" w:ascii="Times New Roman" w:hAnsi="Times New Roman" w:eastAsia="宋体" w:cs="Times New Roman"/>
                <w:bCs/>
                <w:kern w:val="0"/>
                <w:sz w:val="21"/>
                <w:szCs w:val="21"/>
                <w:highlight w:val="none"/>
              </w:rPr>
              <w:t>0.004%</w:t>
            </w:r>
          </w:p>
        </w:tc>
      </w:tr>
    </w:tbl>
    <w:p w14:paraId="2E7B78CD">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highlight w:val="none"/>
        </w:rPr>
      </w:pPr>
      <w:r>
        <w:rPr>
          <w:rFonts w:hint="default" w:ascii="Times New Roman" w:hAnsi="Times New Roman" w:eastAsia="宋体" w:cs="Times New Roman"/>
          <w:highlight w:val="none"/>
        </w:rPr>
        <w:t>如某货物采购项目，中标金额为600万元，总共交纳的代理服务费的具体计算过程如下：</w:t>
      </w:r>
    </w:p>
    <w:p w14:paraId="5AA27A60">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highlight w:val="none"/>
        </w:rPr>
      </w:pPr>
      <w:r>
        <w:rPr>
          <w:rFonts w:hint="default" w:ascii="Times New Roman" w:hAnsi="Times New Roman" w:eastAsia="宋体" w:cs="Times New Roman"/>
          <w:highlight w:val="none"/>
        </w:rPr>
        <w:t>标准代理服务费＝（100万以下部分的代理服务费）+（100万～500万部分的代理服务费）+（500万～600万部分的代理服务费）＝100万元×1.5%+（500-100）万元×1.1%+（600-500）万元×0.8%=1.5万元+4.4万元+0.8万元＝6.7万元</w:t>
      </w:r>
    </w:p>
    <w:p w14:paraId="2F443783">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highlight w:val="none"/>
        </w:rPr>
      </w:pPr>
      <w:r>
        <w:rPr>
          <w:rFonts w:hint="default" w:ascii="Times New Roman" w:hAnsi="Times New Roman" w:eastAsia="宋体" w:cs="Times New Roman"/>
          <w:highlight w:val="none"/>
        </w:rPr>
        <w:t>（</w:t>
      </w:r>
      <w:r>
        <w:rPr>
          <w:rFonts w:hint="default" w:ascii="Times New Roman" w:hAnsi="Times New Roman" w:eastAsia="宋体" w:cs="Times New Roman"/>
          <w:highlight w:val="none"/>
          <w:lang w:val="en-US" w:eastAsia="zh-CN"/>
        </w:rPr>
        <w:t>3</w:t>
      </w:r>
      <w:r>
        <w:rPr>
          <w:rFonts w:hint="default" w:ascii="Times New Roman" w:hAnsi="Times New Roman" w:eastAsia="宋体" w:cs="Times New Roman"/>
          <w:highlight w:val="none"/>
        </w:rPr>
        <w:t>）中标供应商中标后，必须按规定采用银行对公转账方式向</w:t>
      </w:r>
      <w:r>
        <w:rPr>
          <w:rFonts w:hint="eastAsia" w:cs="Times New Roman"/>
          <w:highlight w:val="none"/>
          <w:lang w:eastAsia="zh-CN"/>
        </w:rPr>
        <w:t xml:space="preserve"> 深圳信德招标服务有限公司</w:t>
      </w:r>
      <w:r>
        <w:rPr>
          <w:rFonts w:hint="default" w:ascii="Times New Roman" w:hAnsi="Times New Roman" w:eastAsia="宋体" w:cs="Times New Roman"/>
          <w:highlight w:val="none"/>
        </w:rPr>
        <w:t>直接交纳代理服务费，交纳信息及要求按以下规定执行：</w:t>
      </w:r>
    </w:p>
    <w:p w14:paraId="1AF32913">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highlight w:val="none"/>
        </w:rPr>
      </w:pPr>
      <w:r>
        <w:rPr>
          <w:rFonts w:hint="default" w:ascii="Times New Roman" w:hAnsi="Times New Roman" w:eastAsia="宋体" w:cs="Times New Roman"/>
          <w:highlight w:val="none"/>
        </w:rPr>
        <w:t>经营性账户信息如下：</w:t>
      </w:r>
    </w:p>
    <w:p w14:paraId="4F55EF1D">
      <w:pPr>
        <w:pStyle w:val="478"/>
        <w:spacing w:before="31" w:line="266" w:lineRule="auto"/>
        <w:ind w:right="112"/>
        <w:rPr>
          <w:rFonts w:hint="default" w:ascii="Times New Roman" w:hAnsi="Times New Roman" w:eastAsia="宋体" w:cs="Times New Roman"/>
          <w:kern w:val="2"/>
          <w:sz w:val="21"/>
          <w:szCs w:val="24"/>
          <w:highlight w:val="none"/>
          <w:lang w:val="en-US" w:eastAsia="zh-CN" w:bidi="ar-SA"/>
        </w:rPr>
      </w:pPr>
      <w:r>
        <w:rPr>
          <w:rFonts w:hint="default" w:ascii="Times New Roman" w:hAnsi="Times New Roman" w:eastAsia="宋体" w:cs="Times New Roman"/>
          <w:kern w:val="2"/>
          <w:sz w:val="21"/>
          <w:szCs w:val="24"/>
          <w:highlight w:val="none"/>
          <w:lang w:val="en-US" w:eastAsia="zh-CN" w:bidi="ar-SA"/>
        </w:rPr>
        <w:t>开户名称：</w:t>
      </w:r>
      <w:r>
        <w:rPr>
          <w:rFonts w:hint="eastAsia" w:ascii="Times New Roman" w:hAnsi="Times New Roman" w:eastAsia="宋体" w:cs="Times New Roman"/>
          <w:kern w:val="2"/>
          <w:sz w:val="21"/>
          <w:szCs w:val="24"/>
          <w:highlight w:val="none"/>
          <w:lang w:val="en-US" w:eastAsia="zh-CN" w:bidi="ar-SA"/>
        </w:rPr>
        <w:t xml:space="preserve"> 深圳信德招标服务有限公司</w:t>
      </w:r>
    </w:p>
    <w:p w14:paraId="48EA565E">
      <w:pPr>
        <w:pStyle w:val="478"/>
        <w:spacing w:before="31" w:line="266" w:lineRule="auto"/>
        <w:ind w:right="112"/>
        <w:rPr>
          <w:rFonts w:hint="default" w:ascii="Times New Roman" w:hAnsi="Times New Roman" w:eastAsia="宋体" w:cs="Times New Roman"/>
          <w:kern w:val="2"/>
          <w:sz w:val="21"/>
          <w:szCs w:val="24"/>
          <w:highlight w:val="none"/>
          <w:lang w:val="en-US" w:eastAsia="zh-CN" w:bidi="ar-SA"/>
        </w:rPr>
      </w:pPr>
      <w:r>
        <w:rPr>
          <w:rFonts w:hint="default" w:ascii="Times New Roman" w:hAnsi="Times New Roman" w:eastAsia="宋体" w:cs="Times New Roman"/>
          <w:kern w:val="2"/>
          <w:sz w:val="21"/>
          <w:szCs w:val="24"/>
          <w:highlight w:val="none"/>
          <w:lang w:val="en-US" w:eastAsia="zh-CN" w:bidi="ar-SA"/>
        </w:rPr>
        <w:t>银行帐号：4000032409201115118</w:t>
      </w:r>
    </w:p>
    <w:p w14:paraId="7F537D06">
      <w:pPr>
        <w:pStyle w:val="478"/>
        <w:spacing w:before="3" w:line="252" w:lineRule="exact"/>
        <w:rPr>
          <w:rFonts w:hint="default" w:ascii="Times New Roman" w:hAnsi="Times New Roman" w:eastAsia="宋体" w:cs="Times New Roman"/>
          <w:kern w:val="2"/>
          <w:sz w:val="21"/>
          <w:szCs w:val="24"/>
          <w:highlight w:val="none"/>
          <w:lang w:val="en-US" w:eastAsia="zh-CN" w:bidi="ar-SA"/>
        </w:rPr>
      </w:pPr>
      <w:r>
        <w:rPr>
          <w:rFonts w:hint="default" w:ascii="Times New Roman" w:hAnsi="Times New Roman" w:eastAsia="宋体" w:cs="Times New Roman"/>
          <w:kern w:val="2"/>
          <w:sz w:val="21"/>
          <w:szCs w:val="24"/>
          <w:highlight w:val="none"/>
          <w:lang w:val="en-US" w:eastAsia="zh-CN" w:bidi="ar-SA"/>
        </w:rPr>
        <w:t>开户银行：中国工商银行深圳喜年支行</w:t>
      </w:r>
    </w:p>
    <w:p w14:paraId="7EFAF386">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highlight w:val="none"/>
          <w:lang w:eastAsia="zh-Hans"/>
        </w:rPr>
      </w:pPr>
      <w:r>
        <w:rPr>
          <w:rFonts w:hint="default" w:ascii="Times New Roman" w:hAnsi="Times New Roman" w:eastAsia="宋体" w:cs="Times New Roman"/>
          <w:highlight w:val="none"/>
        </w:rPr>
        <w:t>转账备注：</w:t>
      </w:r>
      <w:r>
        <w:rPr>
          <w:rFonts w:hint="eastAsia" w:cs="Times New Roman"/>
          <w:highlight w:val="none"/>
          <w:lang w:eastAsia="zh-CN"/>
        </w:rPr>
        <w:t xml:space="preserve"> 深圳信德招标服务有限公司</w:t>
      </w:r>
      <w:r>
        <w:rPr>
          <w:rFonts w:hint="default" w:ascii="Times New Roman" w:hAnsi="Times New Roman" w:eastAsia="宋体" w:cs="Times New Roman"/>
          <w:highlight w:val="none"/>
          <w:lang w:val="en-US" w:eastAsia="zh-CN"/>
        </w:rPr>
        <w:t>+</w:t>
      </w:r>
      <w:r>
        <w:rPr>
          <w:rFonts w:hint="default" w:ascii="Times New Roman" w:hAnsi="Times New Roman" w:eastAsia="宋体" w:cs="Times New Roman"/>
          <w:highlight w:val="none"/>
        </w:rPr>
        <w:t>项目编号+项目名称</w:t>
      </w:r>
    </w:p>
    <w:bookmarkEnd w:id="34"/>
    <w:p w14:paraId="166E90E6">
      <w:pPr>
        <w:pStyle w:val="4"/>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bCs/>
          <w:sz w:val="28"/>
          <w:szCs w:val="28"/>
          <w:highlight w:val="none"/>
        </w:rPr>
        <w:sectPr>
          <w:pgSz w:w="11900" w:h="16880"/>
          <w:pgMar w:top="1440" w:right="1800" w:bottom="1440" w:left="1800" w:header="0" w:footer="0" w:gutter="0"/>
          <w:cols w:space="720" w:num="1"/>
        </w:sectPr>
      </w:pPr>
    </w:p>
    <w:p w14:paraId="7764B972">
      <w:pPr>
        <w:pStyle w:val="4"/>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bCs/>
          <w:sz w:val="28"/>
          <w:szCs w:val="28"/>
          <w:highlight w:val="none"/>
        </w:rPr>
      </w:pPr>
      <w:r>
        <w:rPr>
          <w:rFonts w:hint="default" w:ascii="Times New Roman" w:hAnsi="Times New Roman" w:eastAsia="宋体" w:cs="Times New Roman"/>
          <w:b/>
          <w:bCs/>
          <w:sz w:val="28"/>
          <w:szCs w:val="28"/>
          <w:highlight w:val="none"/>
        </w:rPr>
        <w:t>第三章 用户需求书</w:t>
      </w:r>
    </w:p>
    <w:p w14:paraId="2BB43CCF">
      <w:pPr>
        <w:pStyle w:val="5"/>
        <w:pageBreakBefore w:val="0"/>
        <w:kinsoku/>
        <w:overflowPunct/>
        <w:topLinePunct w:val="0"/>
        <w:autoSpaceDE/>
        <w:autoSpaceDN/>
        <w:bidi w:val="0"/>
        <w:spacing w:beforeAutospacing="0" w:afterAutospacing="0" w:line="360" w:lineRule="auto"/>
        <w:ind w:left="0" w:leftChars="0" w:right="0" w:firstLine="0" w:firstLineChars="0"/>
        <w:jc w:val="left"/>
        <w:outlineLvl w:val="2"/>
        <w:rPr>
          <w:rFonts w:hint="default" w:ascii="Times New Roman" w:hAnsi="Times New Roman" w:eastAsia="宋体" w:cs="Times New Roman"/>
          <w:b/>
          <w:bCs/>
          <w:sz w:val="28"/>
          <w:szCs w:val="28"/>
          <w:highlight w:val="none"/>
        </w:rPr>
      </w:pPr>
      <w:r>
        <w:rPr>
          <w:rFonts w:hint="default" w:ascii="Times New Roman" w:hAnsi="Times New Roman" w:eastAsia="宋体" w:cs="Times New Roman"/>
          <w:b/>
          <w:bCs/>
          <w:sz w:val="28"/>
          <w:szCs w:val="28"/>
          <w:highlight w:val="none"/>
        </w:rPr>
        <w:t>一、项目基本信息</w:t>
      </w:r>
    </w:p>
    <w:tbl>
      <w:tblPr>
        <w:tblStyle w:val="45"/>
        <w:tblW w:w="59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9"/>
        <w:gridCol w:w="2827"/>
        <w:gridCol w:w="1280"/>
        <w:gridCol w:w="1280"/>
      </w:tblGrid>
      <w:tr w14:paraId="47D1DD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4" w:hRule="atLeast"/>
          <w:jc w:val="center"/>
        </w:trPr>
        <w:tc>
          <w:tcPr>
            <w:tcW w:w="569" w:type="dxa"/>
            <w:vAlign w:val="center"/>
          </w:tcPr>
          <w:p w14:paraId="20427505">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
                <w:bCs w:val="0"/>
                <w:szCs w:val="21"/>
                <w:highlight w:val="none"/>
              </w:rPr>
            </w:pPr>
            <w:r>
              <w:rPr>
                <w:rFonts w:hint="default" w:ascii="Times New Roman" w:hAnsi="Times New Roman" w:eastAsia="宋体" w:cs="Times New Roman"/>
                <w:b/>
                <w:bCs w:val="0"/>
                <w:szCs w:val="21"/>
                <w:highlight w:val="none"/>
              </w:rPr>
              <w:t>序号</w:t>
            </w:r>
          </w:p>
        </w:tc>
        <w:tc>
          <w:tcPr>
            <w:tcW w:w="2827" w:type="dxa"/>
            <w:vAlign w:val="center"/>
          </w:tcPr>
          <w:p w14:paraId="755B4E27">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
                <w:bCs w:val="0"/>
                <w:szCs w:val="21"/>
                <w:highlight w:val="none"/>
                <w:lang w:val="en-US" w:eastAsia="zh-CN"/>
              </w:rPr>
            </w:pPr>
            <w:r>
              <w:rPr>
                <w:rFonts w:hint="default" w:ascii="Times New Roman" w:hAnsi="Times New Roman" w:cs="Times New Roman"/>
                <w:b/>
                <w:bCs w:val="0"/>
                <w:szCs w:val="21"/>
                <w:highlight w:val="none"/>
                <w:lang w:val="en-US" w:eastAsia="zh-CN"/>
              </w:rPr>
              <w:t>货物名称</w:t>
            </w:r>
          </w:p>
        </w:tc>
        <w:tc>
          <w:tcPr>
            <w:tcW w:w="1280" w:type="dxa"/>
            <w:vAlign w:val="center"/>
          </w:tcPr>
          <w:p w14:paraId="79044FD6">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
                <w:bCs w:val="0"/>
                <w:szCs w:val="21"/>
                <w:highlight w:val="none"/>
                <w:lang w:eastAsia="zh-CN"/>
              </w:rPr>
            </w:pPr>
            <w:r>
              <w:rPr>
                <w:rFonts w:hint="default" w:ascii="Times New Roman" w:hAnsi="Times New Roman" w:cs="Times New Roman"/>
                <w:b/>
                <w:bCs w:val="0"/>
                <w:szCs w:val="21"/>
                <w:highlight w:val="none"/>
                <w:lang w:val="en-US" w:eastAsia="zh-CN"/>
              </w:rPr>
              <w:t>数量</w:t>
            </w:r>
          </w:p>
        </w:tc>
        <w:tc>
          <w:tcPr>
            <w:tcW w:w="1280" w:type="dxa"/>
            <w:vAlign w:val="center"/>
          </w:tcPr>
          <w:p w14:paraId="19577E21">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
                <w:bCs w:val="0"/>
                <w:szCs w:val="21"/>
                <w:highlight w:val="none"/>
                <w:lang w:eastAsia="zh-CN"/>
              </w:rPr>
            </w:pPr>
            <w:r>
              <w:rPr>
                <w:rFonts w:hint="default" w:ascii="Times New Roman" w:hAnsi="Times New Roman" w:cs="Times New Roman"/>
                <w:b/>
                <w:bCs w:val="0"/>
                <w:szCs w:val="21"/>
                <w:highlight w:val="none"/>
                <w:lang w:val="en-US" w:eastAsia="zh-CN"/>
              </w:rPr>
              <w:t>单位</w:t>
            </w:r>
          </w:p>
        </w:tc>
      </w:tr>
      <w:tr w14:paraId="198902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0" w:hRule="atLeast"/>
          <w:jc w:val="center"/>
        </w:trPr>
        <w:tc>
          <w:tcPr>
            <w:tcW w:w="569" w:type="dxa"/>
            <w:vAlign w:val="center"/>
          </w:tcPr>
          <w:p w14:paraId="271E7669">
            <w:pPr>
              <w:pageBreakBefore w:val="0"/>
              <w:kinsoku/>
              <w:overflowPunct/>
              <w:topLinePunct w:val="0"/>
              <w:autoSpaceDE/>
              <w:autoSpaceDN/>
              <w:bidi w:val="0"/>
              <w:spacing w:beforeAutospacing="0" w:afterAutospacing="0" w:line="240" w:lineRule="auto"/>
              <w:ind w:left="0" w:leftChars="0" w:right="0" w:firstLine="0" w:firstLineChars="0"/>
              <w:jc w:val="center"/>
              <w:rPr>
                <w:rFonts w:hint="default" w:ascii="Times New Roman" w:hAnsi="Times New Roman" w:eastAsia="宋体" w:cs="Times New Roman"/>
                <w:b w:val="0"/>
                <w:bCs/>
                <w:color w:val="auto"/>
                <w:szCs w:val="21"/>
                <w:highlight w:val="none"/>
              </w:rPr>
            </w:pPr>
            <w:r>
              <w:rPr>
                <w:rFonts w:hint="default" w:ascii="Times New Roman" w:hAnsi="Times New Roman" w:eastAsia="宋体" w:cs="Times New Roman"/>
                <w:b w:val="0"/>
                <w:bCs/>
                <w:color w:val="auto"/>
                <w:szCs w:val="21"/>
                <w:highlight w:val="none"/>
              </w:rPr>
              <w:t>1</w:t>
            </w:r>
          </w:p>
        </w:tc>
        <w:tc>
          <w:tcPr>
            <w:tcW w:w="2827" w:type="dxa"/>
            <w:vAlign w:val="center"/>
          </w:tcPr>
          <w:p w14:paraId="40128138">
            <w:pPr>
              <w:spacing w:line="240" w:lineRule="auto"/>
              <w:jc w:val="center"/>
              <w:rPr>
                <w:rFonts w:hint="default" w:ascii="Times New Roman" w:hAnsi="Times New Roman" w:eastAsia="宋体" w:cs="Times New Roman"/>
                <w:b w:val="0"/>
                <w:bCs/>
                <w:color w:val="auto"/>
                <w:szCs w:val="21"/>
                <w:highlight w:val="none"/>
                <w:lang w:val="en-US" w:eastAsia="zh-CN"/>
              </w:rPr>
            </w:pPr>
            <w:r>
              <w:rPr>
                <w:rFonts w:hint="eastAsia" w:cs="Times New Roman"/>
                <w:b w:val="0"/>
                <w:bCs/>
                <w:color w:val="auto"/>
                <w:szCs w:val="21"/>
                <w:highlight w:val="none"/>
                <w:lang w:val="en-US" w:eastAsia="zh-CN"/>
              </w:rPr>
              <w:t>龙华区中心医院陪护工驻点服务招标项目</w:t>
            </w:r>
          </w:p>
        </w:tc>
        <w:tc>
          <w:tcPr>
            <w:tcW w:w="1280" w:type="dxa"/>
            <w:vAlign w:val="center"/>
          </w:tcPr>
          <w:p w14:paraId="0C7E6542">
            <w:pPr>
              <w:spacing w:line="240" w:lineRule="auto"/>
              <w:jc w:val="center"/>
              <w:rPr>
                <w:rFonts w:hint="default" w:ascii="Times New Roman" w:hAnsi="Times New Roman" w:eastAsia="宋体" w:cs="Times New Roman"/>
                <w:b w:val="0"/>
                <w:bCs/>
                <w:color w:val="auto"/>
                <w:szCs w:val="21"/>
                <w:highlight w:val="none"/>
                <w:lang w:val="en-US" w:eastAsia="zh-CN"/>
              </w:rPr>
            </w:pPr>
            <w:r>
              <w:rPr>
                <w:rFonts w:hint="default" w:ascii="Times New Roman" w:hAnsi="Times New Roman" w:eastAsia="宋体" w:cs="Times New Roman"/>
                <w:b w:val="0"/>
                <w:bCs/>
                <w:color w:val="auto"/>
                <w:szCs w:val="21"/>
                <w:highlight w:val="none"/>
                <w:lang w:val="en-US" w:eastAsia="zh-CN"/>
              </w:rPr>
              <w:t>1</w:t>
            </w:r>
          </w:p>
        </w:tc>
        <w:tc>
          <w:tcPr>
            <w:tcW w:w="1280" w:type="dxa"/>
            <w:vAlign w:val="center"/>
          </w:tcPr>
          <w:p w14:paraId="52FA10F0">
            <w:pPr>
              <w:spacing w:line="240" w:lineRule="auto"/>
              <w:jc w:val="center"/>
              <w:rPr>
                <w:rFonts w:hint="default" w:ascii="Times New Roman" w:hAnsi="Times New Roman" w:eastAsia="宋体" w:cs="Times New Roman"/>
                <w:b w:val="0"/>
                <w:bCs/>
                <w:color w:val="auto"/>
                <w:szCs w:val="21"/>
                <w:highlight w:val="none"/>
                <w:lang w:val="en-US" w:eastAsia="zh-CN"/>
              </w:rPr>
            </w:pPr>
            <w:r>
              <w:rPr>
                <w:rFonts w:hint="eastAsia" w:ascii="宋体" w:hAnsi="宋体" w:eastAsia="宋体" w:cs="宋体"/>
                <w:sz w:val="24"/>
                <w:szCs w:val="24"/>
                <w:vertAlign w:val="baseline"/>
                <w:lang w:val="en-US" w:eastAsia="zh-CN"/>
              </w:rPr>
              <w:t>项</w:t>
            </w:r>
          </w:p>
        </w:tc>
      </w:tr>
    </w:tbl>
    <w:p w14:paraId="73B38F7C">
      <w:pPr>
        <w:pStyle w:val="5"/>
        <w:pageBreakBefore w:val="0"/>
        <w:numPr>
          <w:ilvl w:val="0"/>
          <w:numId w:val="9"/>
        </w:numPr>
        <w:kinsoku/>
        <w:overflowPunct/>
        <w:topLinePunct w:val="0"/>
        <w:autoSpaceDE/>
        <w:autoSpaceDN/>
        <w:bidi w:val="0"/>
        <w:spacing w:beforeAutospacing="0" w:afterAutospacing="0" w:line="360" w:lineRule="auto"/>
        <w:ind w:left="0" w:leftChars="0" w:right="0" w:firstLine="0" w:firstLineChars="0"/>
        <w:jc w:val="left"/>
        <w:outlineLvl w:val="2"/>
        <w:rPr>
          <w:rFonts w:hint="eastAsia" w:ascii="Times New Roman" w:hAnsi="Times New Roman" w:cs="Times New Roman"/>
          <w:b/>
          <w:bCs/>
          <w:sz w:val="28"/>
          <w:szCs w:val="28"/>
          <w:highlight w:val="none"/>
          <w:lang w:val="en-US" w:eastAsia="zh-CN"/>
        </w:rPr>
      </w:pPr>
      <w:bookmarkStart w:id="42" w:name="_Hlk72258617"/>
      <w:r>
        <w:rPr>
          <w:rFonts w:hint="eastAsia" w:ascii="Times New Roman" w:hAnsi="Times New Roman" w:cs="Times New Roman"/>
          <w:b/>
          <w:bCs/>
          <w:sz w:val="28"/>
          <w:szCs w:val="28"/>
          <w:highlight w:val="none"/>
          <w:lang w:val="en-US" w:eastAsia="zh-CN"/>
        </w:rPr>
        <w:t>项目概况</w:t>
      </w:r>
    </w:p>
    <w:p w14:paraId="75C123BE">
      <w:pPr>
        <w:pStyle w:val="5"/>
        <w:pageBreakBefore w:val="0"/>
        <w:numPr>
          <w:ilvl w:val="0"/>
          <w:numId w:val="0"/>
        </w:numPr>
        <w:kinsoku/>
        <w:overflowPunct/>
        <w:topLinePunct w:val="0"/>
        <w:autoSpaceDE/>
        <w:autoSpaceDN/>
        <w:bidi w:val="0"/>
        <w:spacing w:beforeAutospacing="0" w:afterAutospacing="0" w:line="360" w:lineRule="auto"/>
        <w:ind w:leftChars="0" w:right="0" w:rightChars="0" w:firstLine="420" w:firstLineChars="200"/>
        <w:jc w:val="left"/>
        <w:outlineLvl w:val="2"/>
        <w:rPr>
          <w:rFonts w:hint="eastAsia" w:ascii="Times New Roman" w:hAnsi="Times New Roman" w:eastAsia="宋体" w:cs="Times New Roman"/>
          <w:b w:val="0"/>
          <w:bCs w:val="0"/>
          <w:sz w:val="21"/>
          <w:szCs w:val="21"/>
          <w:highlight w:val="none"/>
          <w:lang w:val="en-US" w:eastAsia="zh-CN"/>
        </w:rPr>
      </w:pPr>
      <w:r>
        <w:rPr>
          <w:rFonts w:hint="eastAsia" w:ascii="宋体" w:hAnsi="宋体" w:eastAsia="宋体" w:cs="宋体"/>
          <w:b w:val="0"/>
          <w:bCs w:val="0"/>
          <w:sz w:val="21"/>
          <w:szCs w:val="21"/>
        </w:rPr>
        <w:t>为落实《深圳市卫生和计划生育委员会关于印发〈深圳市医疗机构陪护管理办法〉的通知》（深卫健规〔2020〕7号）和《关于加强深圳市医疗机构护理员管理的指导意见(试行)的通知》（深卫计医政〔2018〕239号）要求，</w:t>
      </w:r>
      <w:r>
        <w:rPr>
          <w:rFonts w:hint="eastAsia" w:ascii="宋体" w:hAnsi="宋体" w:eastAsia="宋体" w:cs="宋体"/>
          <w:b w:val="0"/>
          <w:bCs w:val="0"/>
          <w:sz w:val="21"/>
          <w:szCs w:val="21"/>
          <w:lang w:val="en-US" w:eastAsia="zh-CN"/>
        </w:rPr>
        <w:t>采购人</w:t>
      </w:r>
      <w:r>
        <w:rPr>
          <w:rFonts w:hint="eastAsia" w:ascii="宋体" w:hAnsi="宋体" w:eastAsia="宋体" w:cs="宋体"/>
          <w:b w:val="0"/>
          <w:bCs w:val="0"/>
          <w:sz w:val="21"/>
          <w:szCs w:val="21"/>
        </w:rPr>
        <w:t>需重新寻求</w:t>
      </w:r>
      <w:r>
        <w:rPr>
          <w:rFonts w:hint="eastAsia" w:cs="宋体"/>
          <w:b w:val="0"/>
          <w:bCs w:val="0"/>
          <w:sz w:val="21"/>
          <w:szCs w:val="21"/>
          <w:lang w:eastAsia="zh-CN"/>
        </w:rPr>
        <w:t>专业的公司</w:t>
      </w:r>
      <w:r>
        <w:rPr>
          <w:rFonts w:hint="eastAsia" w:ascii="宋体" w:hAnsi="宋体" w:eastAsia="宋体" w:cs="宋体"/>
          <w:b w:val="0"/>
          <w:bCs w:val="0"/>
          <w:sz w:val="21"/>
          <w:szCs w:val="21"/>
        </w:rPr>
        <w:t>承接陪护驻点服务工作</w:t>
      </w:r>
      <w:r>
        <w:rPr>
          <w:rFonts w:hint="eastAsia" w:cs="宋体"/>
          <w:b w:val="0"/>
          <w:bCs w:val="0"/>
          <w:sz w:val="21"/>
          <w:szCs w:val="21"/>
          <w:lang w:eastAsia="zh-CN"/>
        </w:rPr>
        <w:t>。</w:t>
      </w:r>
    </w:p>
    <w:p w14:paraId="5E3F7A6A">
      <w:pPr>
        <w:pStyle w:val="5"/>
        <w:pageBreakBefore w:val="0"/>
        <w:numPr>
          <w:ilvl w:val="0"/>
          <w:numId w:val="9"/>
        </w:numPr>
        <w:kinsoku/>
        <w:overflowPunct/>
        <w:topLinePunct w:val="0"/>
        <w:autoSpaceDE/>
        <w:autoSpaceDN/>
        <w:bidi w:val="0"/>
        <w:spacing w:beforeAutospacing="0" w:afterAutospacing="0" w:line="360" w:lineRule="auto"/>
        <w:ind w:left="0" w:leftChars="0" w:right="0" w:firstLine="0" w:firstLineChars="0"/>
        <w:jc w:val="left"/>
        <w:outlineLvl w:val="2"/>
        <w:rPr>
          <w:rFonts w:hint="eastAsia" w:ascii="宋体" w:hAnsi="宋体" w:eastAsia="宋体" w:cs="宋体"/>
          <w:b/>
          <w:bCs/>
          <w:sz w:val="24"/>
          <w:szCs w:val="24"/>
        </w:rPr>
      </w:pPr>
      <w:r>
        <w:rPr>
          <w:rFonts w:hint="eastAsia" w:ascii="Times New Roman" w:hAnsi="Times New Roman" w:eastAsia="宋体" w:cs="Times New Roman"/>
          <w:b/>
          <w:bCs/>
          <w:sz w:val="28"/>
          <w:szCs w:val="28"/>
          <w:highlight w:val="none"/>
          <w:lang w:val="en-US" w:eastAsia="zh-CN"/>
        </w:rPr>
        <w:t>服务内容与标准</w:t>
      </w:r>
    </w:p>
    <w:p w14:paraId="4B62AE9A">
      <w:pPr>
        <w:pStyle w:val="5"/>
        <w:pageBreakBefore w:val="0"/>
        <w:numPr>
          <w:ilvl w:val="0"/>
          <w:numId w:val="0"/>
        </w:numPr>
        <w:kinsoku/>
        <w:overflowPunct/>
        <w:topLinePunct w:val="0"/>
        <w:autoSpaceDE/>
        <w:autoSpaceDN/>
        <w:bidi w:val="0"/>
        <w:spacing w:beforeAutospacing="0" w:afterAutospacing="0" w:line="360" w:lineRule="auto"/>
        <w:ind w:leftChars="0" w:right="0" w:rightChars="0"/>
        <w:jc w:val="left"/>
        <w:outlineLvl w:val="2"/>
        <w:rPr>
          <w:rFonts w:hint="eastAsia" w:ascii="宋体" w:hAnsi="宋体" w:eastAsia="宋体" w:cs="宋体"/>
          <w:b/>
          <w:bCs/>
          <w:sz w:val="24"/>
          <w:szCs w:val="24"/>
        </w:rPr>
      </w:pPr>
      <w:r>
        <w:rPr>
          <w:rFonts w:hint="eastAsia" w:ascii="宋体" w:hAnsi="宋体" w:eastAsia="宋体" w:cs="宋体"/>
          <w:b/>
          <w:bCs/>
          <w:sz w:val="24"/>
          <w:szCs w:val="24"/>
        </w:rPr>
        <w:t>（一）服务范围</w:t>
      </w:r>
    </w:p>
    <w:p w14:paraId="22C32487">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rPr>
        <w:t>1.为深圳市龙华区中心医院提供专业的医疗护理陪护，包含一般患者照护、老年人照护、母婴照护等。</w:t>
      </w:r>
    </w:p>
    <w:p w14:paraId="49D2D773">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rPr>
        <w:t>2.护理员</w:t>
      </w:r>
      <w:r>
        <w:rPr>
          <w:rFonts w:hint="eastAsia" w:ascii="宋体" w:hAnsi="宋体" w:cs="宋体"/>
          <w:sz w:val="21"/>
          <w:szCs w:val="21"/>
          <w:lang w:eastAsia="zh-CN"/>
        </w:rPr>
        <w:t>及患者家属</w:t>
      </w:r>
      <w:r>
        <w:rPr>
          <w:rFonts w:hint="eastAsia" w:ascii="宋体" w:hAnsi="宋体" w:eastAsia="宋体" w:cs="宋体"/>
          <w:sz w:val="21"/>
          <w:szCs w:val="21"/>
        </w:rPr>
        <w:t>所需陪护床的日常管理。</w:t>
      </w:r>
    </w:p>
    <w:p w14:paraId="6F40D900">
      <w:pPr>
        <w:keepNext w:val="0"/>
        <w:keepLines w:val="0"/>
        <w:pageBreakBefore w:val="0"/>
        <w:widowControl w:val="0"/>
        <w:kinsoku/>
        <w:wordWrap/>
        <w:overflowPunct/>
        <w:topLinePunct w:val="0"/>
        <w:autoSpaceDE/>
        <w:autoSpaceDN/>
        <w:bidi w:val="0"/>
        <w:adjustRightInd/>
        <w:snapToGrid/>
        <w:spacing w:line="440" w:lineRule="exact"/>
        <w:jc w:val="left"/>
        <w:textAlignment w:val="auto"/>
        <w:rPr>
          <w:rFonts w:hint="eastAsia" w:ascii="宋体" w:hAnsi="宋体" w:eastAsia="宋体" w:cs="宋体"/>
          <w:b/>
          <w:bCs/>
          <w:sz w:val="24"/>
          <w:szCs w:val="24"/>
        </w:rPr>
      </w:pPr>
      <w:r>
        <w:rPr>
          <w:rFonts w:hint="eastAsia" w:ascii="宋体" w:hAnsi="宋体" w:eastAsia="宋体" w:cs="宋体"/>
          <w:b/>
          <w:bCs/>
          <w:sz w:val="24"/>
          <w:szCs w:val="24"/>
        </w:rPr>
        <w:t>（二）服务模式</w:t>
      </w:r>
    </w:p>
    <w:p w14:paraId="59017F72">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rPr>
        <w:t>1.提供“一对一”“一对二”“一对三”及“一对多”的服务模式。“一对一”陪护模式下护理员实行24小时连续在岗制；“一对多”陪护模式下护理员实行</w:t>
      </w:r>
      <w:r>
        <w:rPr>
          <w:rFonts w:hint="eastAsia" w:ascii="宋体" w:hAnsi="宋体" w:eastAsia="宋体" w:cs="宋体"/>
          <w:sz w:val="21"/>
          <w:szCs w:val="21"/>
          <w:lang w:val="en-US" w:eastAsia="zh-CN"/>
        </w:rPr>
        <w:t>至少</w:t>
      </w:r>
      <w:r>
        <w:rPr>
          <w:rFonts w:hint="eastAsia" w:ascii="宋体" w:hAnsi="宋体" w:eastAsia="宋体" w:cs="宋体"/>
          <w:sz w:val="21"/>
          <w:szCs w:val="21"/>
        </w:rPr>
        <w:t>两班12小时轮换制（其他陪护模式的排班方式，可由科室护士长根据患者病情实际情况统筹安排）。</w:t>
      </w:r>
    </w:p>
    <w:p w14:paraId="03843E87">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rPr>
        <w:t>2.护理员在公司及医院陪护管理办公室共同监管下工作；在服务科室范围内，需服从科室护士长的指导与管理，为住院患者提供全面、全程、连续且安全的护理服务。</w:t>
      </w:r>
    </w:p>
    <w:p w14:paraId="590A24F5">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b/>
          <w:bCs/>
          <w:sz w:val="21"/>
          <w:szCs w:val="21"/>
        </w:rPr>
      </w:pPr>
      <w:r>
        <w:rPr>
          <w:rFonts w:hint="eastAsia" w:ascii="宋体" w:hAnsi="宋体" w:eastAsia="宋体" w:cs="宋体"/>
          <w:sz w:val="21"/>
          <w:szCs w:val="21"/>
        </w:rPr>
        <w:t>3.每个病区配置护理员组长1名，负责日常工作协调与质量督查。</w:t>
      </w:r>
    </w:p>
    <w:p w14:paraId="7B3C0A9C">
      <w:pPr>
        <w:keepNext w:val="0"/>
        <w:keepLines w:val="0"/>
        <w:pageBreakBefore w:val="0"/>
        <w:widowControl w:val="0"/>
        <w:kinsoku/>
        <w:wordWrap/>
        <w:overflowPunct/>
        <w:topLinePunct w:val="0"/>
        <w:autoSpaceDE/>
        <w:autoSpaceDN/>
        <w:bidi w:val="0"/>
        <w:adjustRightInd/>
        <w:snapToGrid/>
        <w:spacing w:after="157" w:afterLines="50" w:line="440" w:lineRule="exact"/>
        <w:jc w:val="left"/>
        <w:textAlignment w:val="auto"/>
        <w:rPr>
          <w:rFonts w:hint="eastAsia" w:ascii="宋体" w:hAnsi="宋体" w:eastAsia="宋体" w:cs="宋体"/>
          <w:b/>
          <w:bCs/>
          <w:sz w:val="24"/>
          <w:szCs w:val="24"/>
        </w:rPr>
      </w:pPr>
      <w:r>
        <w:rPr>
          <w:rFonts w:hint="eastAsia" w:ascii="宋体" w:hAnsi="宋体" w:eastAsia="宋体" w:cs="宋体"/>
          <w:b/>
          <w:bCs/>
          <w:sz w:val="24"/>
          <w:szCs w:val="24"/>
        </w:rPr>
        <w:t>（三）服务内容及</w:t>
      </w:r>
      <w:r>
        <w:rPr>
          <w:rFonts w:hint="eastAsia" w:ascii="宋体" w:hAnsi="宋体" w:eastAsia="宋体" w:cs="宋体"/>
          <w:b/>
          <w:bCs/>
          <w:sz w:val="24"/>
          <w:szCs w:val="24"/>
          <w:lang w:eastAsia="zh-CN"/>
        </w:rPr>
        <w:t>执行</w:t>
      </w:r>
      <w:r>
        <w:rPr>
          <w:rFonts w:hint="eastAsia" w:ascii="宋体" w:hAnsi="宋体" w:eastAsia="宋体" w:cs="宋体"/>
          <w:b/>
          <w:bCs/>
          <w:sz w:val="24"/>
          <w:szCs w:val="24"/>
        </w:rPr>
        <w:t>标准</w:t>
      </w:r>
    </w:p>
    <w:tbl>
      <w:tblPr>
        <w:tblStyle w:val="46"/>
        <w:tblW w:w="0" w:type="auto"/>
        <w:tblInd w:w="-69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0"/>
        <w:gridCol w:w="878"/>
        <w:gridCol w:w="2122"/>
        <w:gridCol w:w="5327"/>
      </w:tblGrid>
      <w:tr w14:paraId="260808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0" w:type="dxa"/>
            <w:vAlign w:val="center"/>
          </w:tcPr>
          <w:p w14:paraId="15D8A9AE">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auto"/>
              <w:rPr>
                <w:rFonts w:hint="default" w:ascii="Times New Roman" w:hAnsi="Times New Roman" w:eastAsia="宋体" w:cs="Times New Roman"/>
                <w:b w:val="0"/>
                <w:bCs w:val="0"/>
                <w:sz w:val="21"/>
                <w:szCs w:val="21"/>
                <w:vertAlign w:val="baseline"/>
              </w:rPr>
            </w:pPr>
            <w:r>
              <w:rPr>
                <w:rFonts w:hint="default" w:ascii="Times New Roman" w:hAnsi="Times New Roman" w:eastAsia="宋体" w:cs="Times New Roman"/>
                <w:b w:val="0"/>
                <w:bCs w:val="0"/>
                <w:i w:val="0"/>
                <w:iCs w:val="0"/>
                <w:caps w:val="0"/>
                <w:color w:val="0F1115"/>
                <w:spacing w:val="0"/>
                <w:kern w:val="0"/>
                <w:sz w:val="21"/>
                <w:szCs w:val="21"/>
                <w:lang w:val="en-US" w:eastAsia="zh-CN" w:bidi="ar"/>
              </w:rPr>
              <w:t>类别</w:t>
            </w:r>
          </w:p>
        </w:tc>
        <w:tc>
          <w:tcPr>
            <w:tcW w:w="878" w:type="dxa"/>
            <w:vAlign w:val="center"/>
          </w:tcPr>
          <w:p w14:paraId="5BBA7CC5">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auto"/>
              <w:rPr>
                <w:rFonts w:hint="default" w:ascii="Times New Roman" w:hAnsi="Times New Roman" w:eastAsia="宋体" w:cs="Times New Roman"/>
                <w:b w:val="0"/>
                <w:bCs w:val="0"/>
                <w:sz w:val="21"/>
                <w:szCs w:val="21"/>
                <w:vertAlign w:val="baseline"/>
              </w:rPr>
            </w:pPr>
            <w:r>
              <w:rPr>
                <w:rFonts w:hint="default" w:ascii="Times New Roman" w:hAnsi="Times New Roman" w:eastAsia="宋体" w:cs="Times New Roman"/>
                <w:b w:val="0"/>
                <w:bCs w:val="0"/>
                <w:i w:val="0"/>
                <w:iCs w:val="0"/>
                <w:caps w:val="0"/>
                <w:color w:val="0F1115"/>
                <w:spacing w:val="0"/>
                <w:kern w:val="0"/>
                <w:sz w:val="21"/>
                <w:szCs w:val="21"/>
                <w:lang w:val="en-US" w:eastAsia="zh-CN" w:bidi="ar"/>
              </w:rPr>
              <w:t>项目</w:t>
            </w:r>
          </w:p>
        </w:tc>
        <w:tc>
          <w:tcPr>
            <w:tcW w:w="2122" w:type="dxa"/>
            <w:vAlign w:val="center"/>
          </w:tcPr>
          <w:p w14:paraId="4A1B418E">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auto"/>
              <w:rPr>
                <w:rFonts w:hint="eastAsia" w:ascii="Times New Roman" w:hAnsi="Times New Roman" w:eastAsia="宋体" w:cs="Times New Roman"/>
                <w:b w:val="0"/>
                <w:bCs w:val="0"/>
                <w:i w:val="0"/>
                <w:iCs w:val="0"/>
                <w:caps w:val="0"/>
                <w:color w:val="0F1115"/>
                <w:spacing w:val="0"/>
                <w:kern w:val="0"/>
                <w:sz w:val="21"/>
                <w:szCs w:val="21"/>
                <w:lang w:val="en-US" w:eastAsia="zh-CN" w:bidi="ar"/>
              </w:rPr>
            </w:pPr>
            <w:r>
              <w:rPr>
                <w:rFonts w:hint="eastAsia" w:ascii="Times New Roman" w:hAnsi="Times New Roman" w:eastAsia="宋体" w:cs="Times New Roman"/>
                <w:b w:val="0"/>
                <w:bCs w:val="0"/>
                <w:i w:val="0"/>
                <w:iCs w:val="0"/>
                <w:caps w:val="0"/>
                <w:color w:val="0F1115"/>
                <w:spacing w:val="0"/>
                <w:kern w:val="0"/>
                <w:sz w:val="21"/>
                <w:szCs w:val="21"/>
                <w:lang w:val="en-US" w:eastAsia="zh-CN" w:bidi="ar"/>
              </w:rPr>
              <w:t>内容</w:t>
            </w:r>
          </w:p>
        </w:tc>
        <w:tc>
          <w:tcPr>
            <w:tcW w:w="5327" w:type="dxa"/>
            <w:vAlign w:val="center"/>
          </w:tcPr>
          <w:p w14:paraId="22176EA8">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auto"/>
              <w:rPr>
                <w:rFonts w:hint="default" w:ascii="Times New Roman" w:hAnsi="Times New Roman" w:eastAsia="宋体" w:cs="Times New Roman"/>
                <w:b w:val="0"/>
                <w:bCs w:val="0"/>
                <w:sz w:val="21"/>
                <w:szCs w:val="21"/>
                <w:vertAlign w:val="baseline"/>
              </w:rPr>
            </w:pPr>
            <w:r>
              <w:rPr>
                <w:rFonts w:hint="eastAsia" w:ascii="Times New Roman" w:hAnsi="Times New Roman" w:eastAsia="宋体" w:cs="Times New Roman"/>
                <w:b w:val="0"/>
                <w:bCs w:val="0"/>
                <w:i w:val="0"/>
                <w:iCs w:val="0"/>
                <w:caps w:val="0"/>
                <w:color w:val="0F1115"/>
                <w:spacing w:val="0"/>
                <w:kern w:val="0"/>
                <w:sz w:val="21"/>
                <w:szCs w:val="21"/>
                <w:lang w:val="en-US" w:eastAsia="zh-CN" w:bidi="ar"/>
              </w:rPr>
              <w:t>执行</w:t>
            </w:r>
            <w:r>
              <w:rPr>
                <w:rFonts w:hint="default" w:ascii="Times New Roman" w:hAnsi="Times New Roman" w:eastAsia="宋体" w:cs="Times New Roman"/>
                <w:b w:val="0"/>
                <w:bCs w:val="0"/>
                <w:i w:val="0"/>
                <w:iCs w:val="0"/>
                <w:caps w:val="0"/>
                <w:color w:val="0F1115"/>
                <w:spacing w:val="0"/>
                <w:kern w:val="0"/>
                <w:sz w:val="21"/>
                <w:szCs w:val="21"/>
                <w:lang w:val="en-US" w:eastAsia="zh-CN" w:bidi="ar"/>
              </w:rPr>
              <w:t>标准</w:t>
            </w:r>
          </w:p>
        </w:tc>
      </w:tr>
      <w:tr w14:paraId="6D02F9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0" w:type="dxa"/>
            <w:vMerge w:val="restart"/>
            <w:vAlign w:val="center"/>
          </w:tcPr>
          <w:p w14:paraId="1E120C3C">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auto"/>
              <w:rPr>
                <w:rFonts w:hint="default" w:ascii="Times New Roman" w:hAnsi="Times New Roman" w:eastAsia="宋体" w:cs="Times New Roman"/>
                <w:b w:val="0"/>
                <w:bCs w:val="0"/>
                <w:sz w:val="21"/>
                <w:szCs w:val="21"/>
                <w:vertAlign w:val="baseline"/>
              </w:rPr>
            </w:pPr>
            <w:r>
              <w:rPr>
                <w:rStyle w:val="49"/>
                <w:rFonts w:hint="default" w:ascii="Times New Roman" w:hAnsi="Times New Roman" w:eastAsia="宋体" w:cs="Times New Roman"/>
                <w:b w:val="0"/>
                <w:bCs w:val="0"/>
                <w:i w:val="0"/>
                <w:iCs w:val="0"/>
                <w:caps w:val="0"/>
                <w:color w:val="0F1115"/>
                <w:spacing w:val="0"/>
                <w:kern w:val="0"/>
                <w:sz w:val="21"/>
                <w:szCs w:val="21"/>
                <w:lang w:val="en-US" w:eastAsia="zh-CN" w:bidi="ar"/>
              </w:rPr>
              <w:t>1.生活照护</w:t>
            </w:r>
          </w:p>
        </w:tc>
        <w:tc>
          <w:tcPr>
            <w:tcW w:w="878" w:type="dxa"/>
            <w:vAlign w:val="center"/>
          </w:tcPr>
          <w:p w14:paraId="7908C2E0">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auto"/>
              <w:rPr>
                <w:rFonts w:hint="default" w:ascii="Times New Roman" w:hAnsi="Times New Roman" w:eastAsia="宋体" w:cs="Times New Roman"/>
                <w:b w:val="0"/>
                <w:bCs w:val="0"/>
                <w:sz w:val="21"/>
                <w:szCs w:val="21"/>
                <w:vertAlign w:val="baseline"/>
              </w:rPr>
            </w:pPr>
            <w:r>
              <w:rPr>
                <w:rStyle w:val="49"/>
                <w:rFonts w:hint="default" w:ascii="Times New Roman" w:hAnsi="Times New Roman" w:eastAsia="宋体" w:cs="Times New Roman"/>
                <w:b w:val="0"/>
                <w:bCs w:val="0"/>
                <w:i w:val="0"/>
                <w:iCs w:val="0"/>
                <w:caps w:val="0"/>
                <w:color w:val="0F1115"/>
                <w:spacing w:val="0"/>
                <w:kern w:val="0"/>
                <w:sz w:val="21"/>
                <w:szCs w:val="21"/>
                <w:lang w:val="en-US" w:eastAsia="zh-CN" w:bidi="ar"/>
              </w:rPr>
              <w:t>清洁照护</w:t>
            </w:r>
          </w:p>
        </w:tc>
        <w:tc>
          <w:tcPr>
            <w:tcW w:w="2122" w:type="dxa"/>
            <w:vAlign w:val="center"/>
          </w:tcPr>
          <w:p w14:paraId="59CB538C">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auto"/>
              <w:rPr>
                <w:rFonts w:hint="default" w:ascii="Times New Roman" w:hAnsi="Times New Roman" w:eastAsia="宋体" w:cs="Times New Roman"/>
                <w:b w:val="0"/>
                <w:bCs w:val="0"/>
                <w:i w:val="0"/>
                <w:iCs w:val="0"/>
                <w:caps w:val="0"/>
                <w:color w:val="0F1115"/>
                <w:spacing w:val="0"/>
                <w:kern w:val="0"/>
                <w:sz w:val="21"/>
                <w:szCs w:val="21"/>
                <w:lang w:val="en-US" w:eastAsia="zh-CN" w:bidi="ar"/>
              </w:rPr>
            </w:pPr>
            <w:r>
              <w:rPr>
                <w:rFonts w:hint="eastAsia" w:ascii="Times New Roman" w:hAnsi="Times New Roman" w:eastAsia="宋体" w:cs="Times New Roman"/>
                <w:b w:val="0"/>
                <w:bCs w:val="0"/>
                <w:i w:val="0"/>
                <w:iCs w:val="0"/>
                <w:caps w:val="0"/>
                <w:color w:val="0F1115"/>
                <w:spacing w:val="0"/>
                <w:kern w:val="0"/>
                <w:sz w:val="21"/>
                <w:szCs w:val="21"/>
                <w:lang w:val="en-US" w:eastAsia="zh-CN" w:bidi="ar"/>
              </w:rPr>
              <w:t>（1）</w:t>
            </w:r>
            <w:r>
              <w:rPr>
                <w:rFonts w:hint="default" w:ascii="Times New Roman" w:hAnsi="Times New Roman" w:eastAsia="宋体" w:cs="Times New Roman"/>
                <w:b w:val="0"/>
                <w:bCs w:val="0"/>
                <w:i w:val="0"/>
                <w:iCs w:val="0"/>
                <w:caps w:val="0"/>
                <w:color w:val="0F1115"/>
                <w:spacing w:val="0"/>
                <w:kern w:val="0"/>
                <w:sz w:val="21"/>
                <w:szCs w:val="21"/>
                <w:lang w:val="en-US" w:eastAsia="zh-CN" w:bidi="ar"/>
              </w:rPr>
              <w:t>完成患者晨间、晚间护理。</w:t>
            </w:r>
          </w:p>
          <w:p w14:paraId="4FCB7CF3">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auto"/>
              <w:rPr>
                <w:rFonts w:hint="default" w:ascii="Times New Roman" w:hAnsi="Times New Roman" w:eastAsia="宋体" w:cs="Times New Roman"/>
                <w:b w:val="0"/>
                <w:bCs w:val="0"/>
                <w:i w:val="0"/>
                <w:iCs w:val="0"/>
                <w:caps w:val="0"/>
                <w:color w:val="0F1115"/>
                <w:spacing w:val="0"/>
                <w:kern w:val="0"/>
                <w:sz w:val="21"/>
                <w:szCs w:val="21"/>
                <w:lang w:val="en-US" w:eastAsia="zh-CN" w:bidi="ar"/>
              </w:rPr>
            </w:pPr>
            <w:r>
              <w:rPr>
                <w:rFonts w:hint="eastAsia" w:ascii="Times New Roman" w:hAnsi="Times New Roman" w:eastAsia="宋体" w:cs="Times New Roman"/>
                <w:b w:val="0"/>
                <w:bCs w:val="0"/>
                <w:i w:val="0"/>
                <w:iCs w:val="0"/>
                <w:caps w:val="0"/>
                <w:color w:val="0F1115"/>
                <w:spacing w:val="0"/>
                <w:kern w:val="0"/>
                <w:sz w:val="21"/>
                <w:szCs w:val="21"/>
                <w:lang w:val="en-US" w:eastAsia="zh-CN" w:bidi="ar"/>
              </w:rPr>
              <w:t>（2）</w:t>
            </w:r>
            <w:r>
              <w:rPr>
                <w:rFonts w:hint="default" w:ascii="Times New Roman" w:hAnsi="Times New Roman" w:eastAsia="宋体" w:cs="Times New Roman"/>
                <w:b w:val="0"/>
                <w:bCs w:val="0"/>
                <w:i w:val="0"/>
                <w:iCs w:val="0"/>
                <w:caps w:val="0"/>
                <w:color w:val="0F1115"/>
                <w:spacing w:val="0"/>
                <w:kern w:val="0"/>
                <w:sz w:val="21"/>
                <w:szCs w:val="21"/>
                <w:lang w:val="en-US" w:eastAsia="zh-CN" w:bidi="ar"/>
              </w:rPr>
              <w:t>为住院周期较长的患者提供周期性清洁服务。</w:t>
            </w:r>
          </w:p>
          <w:p w14:paraId="50ACC9A9">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auto"/>
              <w:rPr>
                <w:rFonts w:hint="default" w:ascii="Times New Roman" w:hAnsi="Times New Roman" w:eastAsia="宋体" w:cs="Times New Roman"/>
                <w:b w:val="0"/>
                <w:bCs w:val="0"/>
                <w:i w:val="0"/>
                <w:iCs w:val="0"/>
                <w:caps w:val="0"/>
                <w:color w:val="0F1115"/>
                <w:spacing w:val="0"/>
                <w:kern w:val="0"/>
                <w:sz w:val="21"/>
                <w:szCs w:val="21"/>
                <w:lang w:val="en-US" w:eastAsia="zh-CN" w:bidi="ar"/>
              </w:rPr>
            </w:pPr>
            <w:r>
              <w:rPr>
                <w:rFonts w:hint="eastAsia" w:ascii="Times New Roman" w:hAnsi="Times New Roman" w:eastAsia="宋体" w:cs="Times New Roman"/>
                <w:b w:val="0"/>
                <w:bCs w:val="0"/>
                <w:i w:val="0"/>
                <w:iCs w:val="0"/>
                <w:caps w:val="0"/>
                <w:color w:val="0F1115"/>
                <w:spacing w:val="0"/>
                <w:kern w:val="0"/>
                <w:sz w:val="21"/>
                <w:szCs w:val="21"/>
                <w:lang w:val="en-US" w:eastAsia="zh-CN" w:bidi="ar"/>
              </w:rPr>
              <w:t>（3）</w:t>
            </w:r>
            <w:r>
              <w:rPr>
                <w:rFonts w:hint="default" w:ascii="Times New Roman" w:hAnsi="Times New Roman" w:eastAsia="宋体" w:cs="Times New Roman"/>
                <w:b w:val="0"/>
                <w:bCs w:val="0"/>
                <w:i w:val="0"/>
                <w:iCs w:val="0"/>
                <w:caps w:val="0"/>
                <w:color w:val="0F1115"/>
                <w:spacing w:val="0"/>
                <w:kern w:val="0"/>
                <w:sz w:val="21"/>
                <w:szCs w:val="21"/>
                <w:lang w:val="en-US" w:eastAsia="zh-CN" w:bidi="ar"/>
              </w:rPr>
              <w:t>维护患者个人卫生整体状态。</w:t>
            </w:r>
          </w:p>
        </w:tc>
        <w:tc>
          <w:tcPr>
            <w:tcW w:w="5327" w:type="dxa"/>
            <w:vAlign w:val="center"/>
          </w:tcPr>
          <w:p w14:paraId="6DA87F0D">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auto"/>
              <w:rPr>
                <w:rFonts w:hint="default" w:ascii="Times New Roman" w:hAnsi="Times New Roman" w:eastAsia="宋体" w:cs="Times New Roman"/>
                <w:b w:val="0"/>
                <w:bCs w:val="0"/>
                <w:sz w:val="21"/>
                <w:szCs w:val="21"/>
                <w:vertAlign w:val="baseline"/>
              </w:rPr>
            </w:pPr>
            <w:r>
              <w:rPr>
                <w:rFonts w:hint="eastAsia" w:ascii="仿宋" w:hAnsi="仿宋" w:eastAsia="仿宋" w:cs="仿宋"/>
                <w:b w:val="0"/>
                <w:bCs w:val="0"/>
                <w:sz w:val="21"/>
                <w:szCs w:val="21"/>
                <w:vertAlign w:val="baseline"/>
              </w:rPr>
              <w:t>·</w:t>
            </w:r>
            <w:r>
              <w:rPr>
                <w:rFonts w:hint="default" w:ascii="Times New Roman" w:hAnsi="Times New Roman" w:eastAsia="宋体" w:cs="Times New Roman"/>
                <w:b w:val="0"/>
                <w:bCs w:val="0"/>
                <w:sz w:val="21"/>
                <w:szCs w:val="21"/>
                <w:vertAlign w:val="baseline"/>
              </w:rPr>
              <w:t>每日执行：整理床单位、口腔、面部、会阴、足部清洁。</w:t>
            </w:r>
          </w:p>
          <w:p w14:paraId="01892C9A">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auto"/>
              <w:rPr>
                <w:rFonts w:hint="eastAsia" w:ascii="Times New Roman" w:hAnsi="Times New Roman" w:eastAsia="宋体" w:cs="Times New Roman"/>
                <w:b w:val="0"/>
                <w:bCs w:val="0"/>
                <w:sz w:val="21"/>
                <w:szCs w:val="21"/>
                <w:vertAlign w:val="baseline"/>
                <w:lang w:eastAsia="zh-CN"/>
              </w:rPr>
            </w:pPr>
            <w:r>
              <w:rPr>
                <w:rFonts w:hint="eastAsia" w:ascii="仿宋" w:hAnsi="仿宋" w:eastAsia="仿宋" w:cs="仿宋"/>
                <w:b w:val="0"/>
                <w:bCs w:val="0"/>
                <w:sz w:val="21"/>
                <w:szCs w:val="21"/>
                <w:vertAlign w:val="baseline"/>
              </w:rPr>
              <w:t>·</w:t>
            </w:r>
            <w:r>
              <w:rPr>
                <w:rFonts w:hint="default" w:ascii="Times New Roman" w:hAnsi="Times New Roman" w:eastAsia="宋体" w:cs="Times New Roman"/>
                <w:b w:val="0"/>
                <w:bCs w:val="0"/>
                <w:sz w:val="21"/>
                <w:szCs w:val="21"/>
                <w:vertAlign w:val="baseline"/>
              </w:rPr>
              <w:t>每周执行：更换床单</w:t>
            </w:r>
            <w:r>
              <w:rPr>
                <w:rFonts w:hint="eastAsia" w:ascii="Times New Roman" w:hAnsi="Times New Roman" w:eastAsia="宋体" w:cs="Times New Roman"/>
                <w:b w:val="0"/>
                <w:bCs w:val="0"/>
                <w:sz w:val="21"/>
                <w:szCs w:val="21"/>
                <w:vertAlign w:val="baseline"/>
                <w:lang w:eastAsia="zh-CN"/>
              </w:rPr>
              <w:t>位</w:t>
            </w:r>
            <w:r>
              <w:rPr>
                <w:rFonts w:hint="default" w:ascii="Times New Roman" w:hAnsi="Times New Roman" w:eastAsia="宋体" w:cs="Times New Roman"/>
                <w:b w:val="0"/>
                <w:bCs w:val="0"/>
                <w:sz w:val="21"/>
                <w:szCs w:val="21"/>
                <w:vertAlign w:val="baseline"/>
              </w:rPr>
              <w:t>≥2次</w:t>
            </w:r>
            <w:r>
              <w:rPr>
                <w:rFonts w:hint="eastAsia" w:ascii="Times New Roman" w:hAnsi="Times New Roman" w:eastAsia="宋体" w:cs="Times New Roman"/>
                <w:b w:val="0"/>
                <w:bCs w:val="0"/>
                <w:sz w:val="21"/>
                <w:szCs w:val="21"/>
                <w:vertAlign w:val="baseline"/>
                <w:lang w:eastAsia="zh-CN"/>
              </w:rPr>
              <w:t>、</w:t>
            </w:r>
            <w:r>
              <w:rPr>
                <w:rFonts w:hint="default" w:ascii="Times New Roman" w:hAnsi="Times New Roman" w:eastAsia="宋体" w:cs="Times New Roman"/>
                <w:b w:val="0"/>
                <w:bCs w:val="0"/>
                <w:sz w:val="21"/>
                <w:szCs w:val="21"/>
                <w:vertAlign w:val="baseline"/>
              </w:rPr>
              <w:t>温水擦浴≥3次</w:t>
            </w:r>
            <w:r>
              <w:rPr>
                <w:rFonts w:hint="eastAsia" w:ascii="Times New Roman" w:hAnsi="Times New Roman" w:eastAsia="宋体" w:cs="Times New Roman"/>
                <w:b w:val="0"/>
                <w:bCs w:val="0"/>
                <w:sz w:val="21"/>
                <w:szCs w:val="21"/>
                <w:vertAlign w:val="baseline"/>
                <w:lang w:eastAsia="zh-CN"/>
              </w:rPr>
              <w:t>、</w:t>
            </w:r>
            <w:r>
              <w:rPr>
                <w:rFonts w:hint="default" w:ascii="Times New Roman" w:hAnsi="Times New Roman" w:eastAsia="宋体" w:cs="Times New Roman"/>
                <w:b w:val="0"/>
                <w:bCs w:val="0"/>
                <w:sz w:val="21"/>
                <w:szCs w:val="21"/>
                <w:vertAlign w:val="baseline"/>
              </w:rPr>
              <w:t>洗头≥1次</w:t>
            </w:r>
            <w:r>
              <w:rPr>
                <w:rFonts w:hint="eastAsia" w:ascii="Times New Roman" w:hAnsi="Times New Roman" w:eastAsia="宋体" w:cs="Times New Roman"/>
                <w:b w:val="0"/>
                <w:bCs w:val="0"/>
                <w:sz w:val="21"/>
                <w:szCs w:val="21"/>
                <w:vertAlign w:val="baseline"/>
                <w:lang w:eastAsia="zh-CN"/>
              </w:rPr>
              <w:t>、</w:t>
            </w:r>
            <w:r>
              <w:rPr>
                <w:rFonts w:hint="default" w:ascii="Times New Roman" w:hAnsi="Times New Roman" w:eastAsia="宋体" w:cs="Times New Roman"/>
                <w:b w:val="0"/>
                <w:bCs w:val="0"/>
                <w:sz w:val="21"/>
                <w:szCs w:val="21"/>
                <w:vertAlign w:val="baseline"/>
              </w:rPr>
              <w:t>协助剪指（趾）甲≥1次</w:t>
            </w:r>
            <w:r>
              <w:rPr>
                <w:rFonts w:hint="eastAsia" w:ascii="Times New Roman" w:hAnsi="Times New Roman" w:eastAsia="宋体" w:cs="Times New Roman"/>
                <w:b w:val="0"/>
                <w:bCs w:val="0"/>
                <w:sz w:val="21"/>
                <w:szCs w:val="21"/>
                <w:vertAlign w:val="baseline"/>
                <w:lang w:eastAsia="zh-CN"/>
              </w:rPr>
              <w:t>。</w:t>
            </w:r>
          </w:p>
          <w:p w14:paraId="584B2ABE">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auto"/>
              <w:rPr>
                <w:rFonts w:hint="eastAsia" w:ascii="Times New Roman" w:hAnsi="Times New Roman" w:eastAsia="仿宋" w:cs="Times New Roman"/>
                <w:b w:val="0"/>
                <w:bCs w:val="0"/>
                <w:sz w:val="21"/>
                <w:szCs w:val="21"/>
                <w:vertAlign w:val="baseline"/>
                <w:lang w:eastAsia="zh-CN"/>
              </w:rPr>
            </w:pPr>
            <w:r>
              <w:rPr>
                <w:rFonts w:hint="eastAsia" w:ascii="仿宋" w:hAnsi="仿宋" w:eastAsia="仿宋" w:cs="仿宋"/>
                <w:b w:val="0"/>
                <w:bCs w:val="0"/>
                <w:sz w:val="21"/>
                <w:szCs w:val="21"/>
                <w:vertAlign w:val="baseline"/>
              </w:rPr>
              <w:t>·</w:t>
            </w:r>
            <w:r>
              <w:rPr>
                <w:rFonts w:hint="default" w:ascii="Times New Roman" w:hAnsi="Times New Roman" w:eastAsia="宋体" w:cs="Times New Roman"/>
                <w:b w:val="0"/>
                <w:bCs w:val="0"/>
                <w:sz w:val="21"/>
                <w:szCs w:val="21"/>
                <w:vertAlign w:val="baseline"/>
              </w:rPr>
              <w:t>保持标准：达到</w:t>
            </w:r>
            <w:r>
              <w:rPr>
                <w:rFonts w:hint="eastAsia" w:ascii="宋体" w:hAnsi="宋体" w:eastAsia="宋体" w:cs="宋体"/>
                <w:b w:val="0"/>
                <w:bCs w:val="0"/>
                <w:sz w:val="21"/>
                <w:szCs w:val="21"/>
                <w:vertAlign w:val="baseline"/>
              </w:rPr>
              <w:t>“三短六洁四无”</w:t>
            </w:r>
            <w:r>
              <w:rPr>
                <w:rFonts w:hint="default" w:ascii="Times New Roman" w:hAnsi="Times New Roman" w:eastAsia="宋体" w:cs="Times New Roman"/>
                <w:b w:val="0"/>
                <w:bCs w:val="0"/>
                <w:sz w:val="21"/>
                <w:szCs w:val="21"/>
                <w:vertAlign w:val="baseline"/>
              </w:rPr>
              <w:t>（三短：头发、胡须、指甲短；六洁：口腔、皮肤、头发、手足、会阴、肛门洁；四无：床上无臭味、被褥无潮湿、床单无皱褶、皮肤无压力性损伤）。</w:t>
            </w:r>
          </w:p>
        </w:tc>
      </w:tr>
      <w:tr w14:paraId="024347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0" w:type="dxa"/>
            <w:vMerge w:val="continue"/>
            <w:vAlign w:val="center"/>
          </w:tcPr>
          <w:p w14:paraId="48D28F08">
            <w:pPr>
              <w:keepNext w:val="0"/>
              <w:keepLines w:val="0"/>
              <w:pageBreakBefore w:val="0"/>
              <w:kinsoku/>
              <w:wordWrap/>
              <w:overflowPunct/>
              <w:topLinePunct w:val="0"/>
              <w:autoSpaceDE/>
              <w:autoSpaceDN/>
              <w:bidi w:val="0"/>
              <w:adjustRightInd/>
              <w:snapToGrid/>
              <w:spacing w:line="440" w:lineRule="exact"/>
              <w:jc w:val="both"/>
              <w:textAlignment w:val="auto"/>
              <w:rPr>
                <w:rFonts w:hint="default" w:ascii="Times New Roman" w:hAnsi="Times New Roman" w:eastAsia="宋体" w:cs="Times New Roman"/>
                <w:b w:val="0"/>
                <w:bCs w:val="0"/>
                <w:sz w:val="21"/>
                <w:szCs w:val="21"/>
                <w:highlight w:val="none"/>
                <w:vertAlign w:val="baseline"/>
              </w:rPr>
            </w:pPr>
          </w:p>
        </w:tc>
        <w:tc>
          <w:tcPr>
            <w:tcW w:w="878" w:type="dxa"/>
            <w:vAlign w:val="center"/>
          </w:tcPr>
          <w:p w14:paraId="71DD1452">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auto"/>
              <w:rPr>
                <w:rFonts w:hint="default" w:ascii="Times New Roman" w:hAnsi="Times New Roman" w:eastAsia="宋体" w:cs="Times New Roman"/>
                <w:b w:val="0"/>
                <w:bCs w:val="0"/>
                <w:sz w:val="21"/>
                <w:szCs w:val="21"/>
                <w:highlight w:val="none"/>
                <w:vertAlign w:val="baseline"/>
              </w:rPr>
            </w:pPr>
            <w:r>
              <w:rPr>
                <w:rStyle w:val="49"/>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饮食照护</w:t>
            </w:r>
          </w:p>
        </w:tc>
        <w:tc>
          <w:tcPr>
            <w:tcW w:w="2122" w:type="dxa"/>
            <w:vAlign w:val="center"/>
          </w:tcPr>
          <w:p w14:paraId="195EFAA9">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auto"/>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pPr>
            <w:r>
              <w:rPr>
                <w:rFonts w:hint="eastAsia" w:ascii="Times New Roman" w:hAnsi="Times New Roman" w:eastAsia="宋体" w:cs="Times New Roman"/>
                <w:b w:val="0"/>
                <w:bCs w:val="0"/>
                <w:i w:val="0"/>
                <w:iCs w:val="0"/>
                <w:caps w:val="0"/>
                <w:color w:val="0F1115"/>
                <w:spacing w:val="0"/>
                <w:kern w:val="0"/>
                <w:sz w:val="21"/>
                <w:szCs w:val="21"/>
                <w:highlight w:val="none"/>
                <w:lang w:val="en-US" w:eastAsia="zh-CN" w:bidi="ar"/>
              </w:rPr>
              <w:t>（1）</w:t>
            </w:r>
            <w:r>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协助患者进食、饮水、服药。</w:t>
            </w:r>
          </w:p>
          <w:p w14:paraId="2CFCA7BB">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auto"/>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pPr>
            <w:r>
              <w:rPr>
                <w:rFonts w:hint="eastAsia" w:ascii="Times New Roman" w:hAnsi="Times New Roman" w:eastAsia="宋体" w:cs="Times New Roman"/>
                <w:b w:val="0"/>
                <w:bCs w:val="0"/>
                <w:i w:val="0"/>
                <w:iCs w:val="0"/>
                <w:caps w:val="0"/>
                <w:color w:val="0F1115"/>
                <w:spacing w:val="0"/>
                <w:kern w:val="0"/>
                <w:sz w:val="21"/>
                <w:szCs w:val="21"/>
                <w:highlight w:val="none"/>
                <w:lang w:val="en-US" w:eastAsia="zh-CN" w:bidi="ar"/>
              </w:rPr>
              <w:t>（2）</w:t>
            </w:r>
            <w:r>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协助观察管饲患者。</w:t>
            </w:r>
          </w:p>
          <w:p w14:paraId="13AF727B">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auto"/>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pPr>
            <w:r>
              <w:rPr>
                <w:rFonts w:hint="eastAsia" w:ascii="Times New Roman" w:hAnsi="Times New Roman" w:eastAsia="宋体" w:cs="Times New Roman"/>
                <w:b w:val="0"/>
                <w:bCs w:val="0"/>
                <w:i w:val="0"/>
                <w:iCs w:val="0"/>
                <w:caps w:val="0"/>
                <w:color w:val="0F1115"/>
                <w:spacing w:val="0"/>
                <w:kern w:val="0"/>
                <w:sz w:val="21"/>
                <w:szCs w:val="21"/>
                <w:highlight w:val="none"/>
                <w:lang w:val="en-US" w:eastAsia="zh-CN" w:bidi="ar"/>
              </w:rPr>
              <w:t>（3）</w:t>
            </w:r>
            <w:r>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提供订餐协助。</w:t>
            </w:r>
          </w:p>
        </w:tc>
        <w:tc>
          <w:tcPr>
            <w:tcW w:w="5327" w:type="dxa"/>
            <w:vAlign w:val="center"/>
          </w:tcPr>
          <w:p w14:paraId="748738DC">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auto"/>
              <w:rPr>
                <w:rFonts w:hint="eastAsia" w:ascii="Times New Roman" w:hAnsi="Times New Roman" w:eastAsia="宋体" w:cs="Times New Roman"/>
                <w:b w:val="0"/>
                <w:bCs w:val="0"/>
                <w:sz w:val="21"/>
                <w:szCs w:val="21"/>
                <w:highlight w:val="none"/>
                <w:vertAlign w:val="baseline"/>
                <w:lang w:eastAsia="zh-CN"/>
              </w:rPr>
            </w:pPr>
            <w:r>
              <w:rPr>
                <w:rFonts w:hint="eastAsia" w:ascii="仿宋" w:hAnsi="仿宋" w:eastAsia="仿宋" w:cs="仿宋"/>
                <w:b w:val="0"/>
                <w:bCs w:val="0"/>
                <w:sz w:val="21"/>
                <w:szCs w:val="21"/>
                <w:highlight w:val="none"/>
                <w:vertAlign w:val="baseline"/>
              </w:rPr>
              <w:t>·</w:t>
            </w:r>
            <w:r>
              <w:rPr>
                <w:rFonts w:hint="default" w:ascii="Times New Roman" w:hAnsi="Times New Roman" w:eastAsia="宋体" w:cs="Times New Roman"/>
                <w:b w:val="0"/>
                <w:bCs w:val="0"/>
                <w:sz w:val="21"/>
                <w:szCs w:val="21"/>
                <w:highlight w:val="none"/>
                <w:vertAlign w:val="baseline"/>
              </w:rPr>
              <w:t>协助并记录：</w:t>
            </w:r>
            <w:r>
              <w:rPr>
                <w:rFonts w:hint="eastAsia" w:ascii="Times New Roman" w:hAnsi="Times New Roman" w:eastAsia="宋体" w:cs="Times New Roman"/>
                <w:b w:val="0"/>
                <w:bCs w:val="0"/>
                <w:sz w:val="21"/>
                <w:szCs w:val="21"/>
                <w:highlight w:val="none"/>
                <w:vertAlign w:val="baseline"/>
                <w:lang w:eastAsia="zh-CN"/>
              </w:rPr>
              <w:t>在护士指导下根据患者饮食要求</w:t>
            </w:r>
            <w:r>
              <w:rPr>
                <w:rFonts w:hint="default" w:ascii="Times New Roman" w:hAnsi="Times New Roman" w:eastAsia="宋体" w:cs="Times New Roman"/>
                <w:b w:val="0"/>
                <w:bCs w:val="0"/>
                <w:sz w:val="21"/>
                <w:szCs w:val="21"/>
                <w:highlight w:val="none"/>
                <w:vertAlign w:val="baseline"/>
              </w:rPr>
              <w:t>协助</w:t>
            </w:r>
            <w:r>
              <w:rPr>
                <w:rFonts w:hint="eastAsia" w:ascii="Times New Roman" w:hAnsi="Times New Roman" w:eastAsia="宋体" w:cs="Times New Roman"/>
                <w:b w:val="0"/>
                <w:bCs w:val="0"/>
                <w:sz w:val="21"/>
                <w:szCs w:val="21"/>
                <w:highlight w:val="none"/>
                <w:vertAlign w:val="baseline"/>
                <w:lang w:eastAsia="zh-CN"/>
              </w:rPr>
              <w:t>正确体位下</w:t>
            </w:r>
            <w:r>
              <w:rPr>
                <w:rFonts w:hint="default" w:ascii="Times New Roman" w:hAnsi="Times New Roman" w:eastAsia="宋体" w:cs="Times New Roman"/>
                <w:b w:val="0"/>
                <w:bCs w:val="0"/>
                <w:sz w:val="21"/>
                <w:szCs w:val="21"/>
                <w:highlight w:val="none"/>
                <w:vertAlign w:val="baseline"/>
              </w:rPr>
              <w:t>进食、</w:t>
            </w:r>
            <w:r>
              <w:rPr>
                <w:rFonts w:hint="eastAsia" w:ascii="Times New Roman" w:hAnsi="Times New Roman" w:eastAsia="宋体" w:cs="Times New Roman"/>
                <w:b w:val="0"/>
                <w:bCs w:val="0"/>
                <w:sz w:val="21"/>
                <w:szCs w:val="21"/>
                <w:highlight w:val="none"/>
                <w:vertAlign w:val="baseline"/>
                <w:lang w:eastAsia="zh-CN"/>
              </w:rPr>
              <w:t>饮</w:t>
            </w:r>
            <w:r>
              <w:rPr>
                <w:rFonts w:hint="default" w:ascii="Times New Roman" w:hAnsi="Times New Roman" w:eastAsia="宋体" w:cs="Times New Roman"/>
                <w:b w:val="0"/>
                <w:bCs w:val="0"/>
                <w:sz w:val="21"/>
                <w:szCs w:val="21"/>
                <w:highlight w:val="none"/>
                <w:vertAlign w:val="baseline"/>
              </w:rPr>
              <w:t>水量</w:t>
            </w:r>
            <w:r>
              <w:rPr>
                <w:rFonts w:hint="eastAsia" w:ascii="Times New Roman" w:hAnsi="Times New Roman" w:eastAsia="宋体" w:cs="Times New Roman"/>
                <w:b w:val="0"/>
                <w:bCs w:val="0"/>
                <w:sz w:val="21"/>
                <w:szCs w:val="21"/>
                <w:highlight w:val="none"/>
                <w:vertAlign w:val="baseline"/>
                <w:lang w:eastAsia="zh-CN"/>
              </w:rPr>
              <w:t>等并做好登记</w:t>
            </w:r>
            <w:r>
              <w:rPr>
                <w:rFonts w:hint="default" w:ascii="Times New Roman" w:hAnsi="Times New Roman" w:eastAsia="宋体" w:cs="Times New Roman"/>
                <w:b w:val="0"/>
                <w:bCs w:val="0"/>
                <w:sz w:val="21"/>
                <w:szCs w:val="21"/>
                <w:highlight w:val="none"/>
                <w:vertAlign w:val="baseline"/>
              </w:rPr>
              <w:t>。</w:t>
            </w:r>
            <w:r>
              <w:rPr>
                <w:rFonts w:hint="eastAsia" w:ascii="Times New Roman" w:hAnsi="Times New Roman" w:eastAsia="宋体" w:cs="Times New Roman"/>
                <w:b w:val="0"/>
                <w:bCs w:val="0"/>
                <w:sz w:val="21"/>
                <w:szCs w:val="21"/>
                <w:highlight w:val="none"/>
                <w:vertAlign w:val="baseline"/>
                <w:lang w:eastAsia="zh-CN"/>
              </w:rPr>
              <w:t>进食时无烫伤、误吸等不良事件的发生。</w:t>
            </w:r>
          </w:p>
          <w:p w14:paraId="2262697A">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auto"/>
              <w:rPr>
                <w:rFonts w:hint="default" w:ascii="Times New Roman" w:hAnsi="Times New Roman" w:eastAsia="宋体" w:cs="Times New Roman"/>
                <w:b w:val="0"/>
                <w:bCs w:val="0"/>
                <w:sz w:val="21"/>
                <w:szCs w:val="21"/>
                <w:highlight w:val="none"/>
                <w:vertAlign w:val="baseline"/>
              </w:rPr>
            </w:pPr>
            <w:r>
              <w:rPr>
                <w:rFonts w:hint="eastAsia" w:ascii="仿宋" w:hAnsi="仿宋" w:eastAsia="仿宋" w:cs="仿宋"/>
                <w:b w:val="0"/>
                <w:bCs w:val="0"/>
                <w:sz w:val="21"/>
                <w:szCs w:val="21"/>
                <w:highlight w:val="none"/>
                <w:vertAlign w:val="baseline"/>
              </w:rPr>
              <w:t>·</w:t>
            </w:r>
            <w:r>
              <w:rPr>
                <w:rFonts w:hint="default" w:ascii="Times New Roman" w:hAnsi="Times New Roman" w:eastAsia="宋体" w:cs="Times New Roman"/>
                <w:b w:val="0"/>
                <w:bCs w:val="0"/>
                <w:sz w:val="21"/>
                <w:szCs w:val="21"/>
                <w:highlight w:val="none"/>
                <w:vertAlign w:val="baseline"/>
              </w:rPr>
              <w:t>及时报告：协助护士观察肠内营养耐受性，发现异常及时反馈。</w:t>
            </w:r>
          </w:p>
          <w:p w14:paraId="7C82BF9B">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auto"/>
              <w:rPr>
                <w:rFonts w:hint="default" w:ascii="Times New Roman" w:hAnsi="Times New Roman" w:eastAsia="宋体" w:cs="Times New Roman"/>
                <w:b w:val="0"/>
                <w:bCs w:val="0"/>
                <w:sz w:val="21"/>
                <w:szCs w:val="21"/>
                <w:highlight w:val="none"/>
                <w:vertAlign w:val="baseline"/>
              </w:rPr>
            </w:pPr>
            <w:r>
              <w:rPr>
                <w:rFonts w:hint="eastAsia" w:ascii="仿宋" w:hAnsi="仿宋" w:eastAsia="仿宋" w:cs="仿宋"/>
                <w:b w:val="0"/>
                <w:bCs w:val="0"/>
                <w:sz w:val="21"/>
                <w:szCs w:val="21"/>
                <w:highlight w:val="none"/>
                <w:vertAlign w:val="baseline"/>
              </w:rPr>
              <w:t>·</w:t>
            </w:r>
            <w:r>
              <w:rPr>
                <w:rFonts w:hint="default" w:ascii="Times New Roman" w:hAnsi="Times New Roman" w:eastAsia="宋体" w:cs="Times New Roman"/>
                <w:b w:val="0"/>
                <w:bCs w:val="0"/>
                <w:sz w:val="21"/>
                <w:szCs w:val="21"/>
                <w:highlight w:val="none"/>
                <w:vertAlign w:val="baseline"/>
              </w:rPr>
              <w:t>按需完成：为有需要的患者完成订餐流程协助。</w:t>
            </w:r>
          </w:p>
        </w:tc>
      </w:tr>
      <w:tr w14:paraId="2FA16C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0" w:type="dxa"/>
            <w:vMerge w:val="continue"/>
            <w:vAlign w:val="center"/>
          </w:tcPr>
          <w:p w14:paraId="5C6D9B21">
            <w:pPr>
              <w:keepNext w:val="0"/>
              <w:keepLines w:val="0"/>
              <w:pageBreakBefore w:val="0"/>
              <w:kinsoku/>
              <w:wordWrap/>
              <w:overflowPunct/>
              <w:topLinePunct w:val="0"/>
              <w:autoSpaceDE/>
              <w:autoSpaceDN/>
              <w:bidi w:val="0"/>
              <w:adjustRightInd/>
              <w:snapToGrid/>
              <w:spacing w:line="440" w:lineRule="exact"/>
              <w:jc w:val="both"/>
              <w:textAlignment w:val="auto"/>
              <w:rPr>
                <w:rFonts w:hint="default" w:ascii="Times New Roman" w:hAnsi="Times New Roman" w:eastAsia="宋体" w:cs="Times New Roman"/>
                <w:b w:val="0"/>
                <w:bCs w:val="0"/>
                <w:sz w:val="21"/>
                <w:szCs w:val="21"/>
                <w:highlight w:val="none"/>
                <w:vertAlign w:val="baseline"/>
              </w:rPr>
            </w:pPr>
          </w:p>
        </w:tc>
        <w:tc>
          <w:tcPr>
            <w:tcW w:w="878" w:type="dxa"/>
            <w:vAlign w:val="center"/>
          </w:tcPr>
          <w:p w14:paraId="1B471FA8">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auto"/>
              <w:rPr>
                <w:rFonts w:hint="default" w:ascii="Times New Roman" w:hAnsi="Times New Roman" w:eastAsia="宋体" w:cs="Times New Roman"/>
                <w:b w:val="0"/>
                <w:bCs w:val="0"/>
                <w:sz w:val="21"/>
                <w:szCs w:val="21"/>
                <w:highlight w:val="none"/>
                <w:vertAlign w:val="baseline"/>
              </w:rPr>
            </w:pPr>
            <w:r>
              <w:rPr>
                <w:rStyle w:val="49"/>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排泄照护</w:t>
            </w:r>
          </w:p>
        </w:tc>
        <w:tc>
          <w:tcPr>
            <w:tcW w:w="2122" w:type="dxa"/>
            <w:vAlign w:val="center"/>
          </w:tcPr>
          <w:p w14:paraId="2F43B2CA">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auto"/>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pPr>
            <w:r>
              <w:rPr>
                <w:rFonts w:hint="eastAsia" w:ascii="Times New Roman" w:hAnsi="Times New Roman" w:eastAsia="宋体" w:cs="Times New Roman"/>
                <w:b w:val="0"/>
                <w:bCs w:val="0"/>
                <w:i w:val="0"/>
                <w:iCs w:val="0"/>
                <w:caps w:val="0"/>
                <w:color w:val="0F1115"/>
                <w:spacing w:val="0"/>
                <w:kern w:val="0"/>
                <w:sz w:val="21"/>
                <w:szCs w:val="21"/>
                <w:highlight w:val="none"/>
                <w:lang w:val="en-US" w:eastAsia="zh-CN" w:bidi="ar"/>
              </w:rPr>
              <w:t>（1）</w:t>
            </w:r>
            <w:r>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协助患者如厕及失禁护理。</w:t>
            </w:r>
          </w:p>
          <w:p w14:paraId="04E41F65">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auto"/>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pPr>
            <w:r>
              <w:rPr>
                <w:rFonts w:hint="eastAsia" w:ascii="Times New Roman" w:hAnsi="Times New Roman" w:eastAsia="宋体" w:cs="Times New Roman"/>
                <w:b w:val="0"/>
                <w:bCs w:val="0"/>
                <w:i w:val="0"/>
                <w:iCs w:val="0"/>
                <w:caps w:val="0"/>
                <w:color w:val="0F1115"/>
                <w:spacing w:val="0"/>
                <w:kern w:val="0"/>
                <w:sz w:val="21"/>
                <w:szCs w:val="21"/>
                <w:highlight w:val="none"/>
                <w:lang w:val="en-US" w:eastAsia="zh-CN" w:bidi="ar"/>
              </w:rPr>
              <w:t>（2）</w:t>
            </w:r>
            <w:r>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执行尿道口清洁。</w:t>
            </w:r>
          </w:p>
          <w:p w14:paraId="5740EB08">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auto"/>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pPr>
            <w:r>
              <w:rPr>
                <w:rFonts w:hint="eastAsia" w:ascii="Times New Roman" w:hAnsi="Times New Roman" w:eastAsia="宋体" w:cs="Times New Roman"/>
                <w:b w:val="0"/>
                <w:bCs w:val="0"/>
                <w:i w:val="0"/>
                <w:iCs w:val="0"/>
                <w:caps w:val="0"/>
                <w:color w:val="0F1115"/>
                <w:spacing w:val="0"/>
                <w:kern w:val="0"/>
                <w:sz w:val="21"/>
                <w:szCs w:val="21"/>
                <w:highlight w:val="none"/>
                <w:lang w:val="en-US" w:eastAsia="zh-CN" w:bidi="ar"/>
              </w:rPr>
              <w:t>（3）</w:t>
            </w:r>
            <w:r>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处理排泄物及标本。</w:t>
            </w:r>
          </w:p>
        </w:tc>
        <w:tc>
          <w:tcPr>
            <w:tcW w:w="5327" w:type="dxa"/>
            <w:vAlign w:val="center"/>
          </w:tcPr>
          <w:p w14:paraId="2C7E5A31">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auto"/>
              <w:rPr>
                <w:rFonts w:hint="eastAsia" w:ascii="Times New Roman" w:hAnsi="Times New Roman" w:eastAsia="宋体" w:cs="Times New Roman"/>
                <w:b w:val="0"/>
                <w:bCs w:val="0"/>
                <w:sz w:val="21"/>
                <w:szCs w:val="21"/>
                <w:highlight w:val="none"/>
                <w:vertAlign w:val="baseline"/>
                <w:lang w:eastAsia="zh-CN"/>
              </w:rPr>
            </w:pPr>
            <w:r>
              <w:rPr>
                <w:rFonts w:hint="eastAsia" w:ascii="仿宋" w:hAnsi="仿宋" w:eastAsia="仿宋" w:cs="仿宋"/>
                <w:b w:val="0"/>
                <w:bCs w:val="0"/>
                <w:sz w:val="21"/>
                <w:szCs w:val="21"/>
                <w:highlight w:val="none"/>
                <w:vertAlign w:val="baseline"/>
              </w:rPr>
              <w:t>·</w:t>
            </w:r>
            <w:r>
              <w:rPr>
                <w:rFonts w:hint="default" w:ascii="Times New Roman" w:hAnsi="Times New Roman" w:eastAsia="宋体" w:cs="Times New Roman"/>
                <w:b w:val="0"/>
                <w:bCs w:val="0"/>
                <w:sz w:val="21"/>
                <w:szCs w:val="21"/>
                <w:highlight w:val="none"/>
                <w:vertAlign w:val="baseline"/>
              </w:rPr>
              <w:t>及时响应：</w:t>
            </w:r>
            <w:r>
              <w:rPr>
                <w:rFonts w:hint="eastAsia" w:ascii="Times New Roman" w:hAnsi="Times New Roman" w:eastAsia="宋体" w:cs="Times New Roman"/>
                <w:b w:val="0"/>
                <w:bCs w:val="0"/>
                <w:sz w:val="21"/>
                <w:szCs w:val="21"/>
                <w:highlight w:val="none"/>
                <w:vertAlign w:val="baseline"/>
                <w:lang w:eastAsia="zh-CN"/>
              </w:rPr>
              <w:t>要求铃响后</w:t>
            </w:r>
            <w:r>
              <w:rPr>
                <w:rFonts w:hint="eastAsia" w:ascii="Times New Roman" w:hAnsi="Times New Roman" w:eastAsia="宋体" w:cs="Times New Roman"/>
                <w:b w:val="0"/>
                <w:bCs w:val="0"/>
                <w:sz w:val="21"/>
                <w:szCs w:val="21"/>
                <w:highlight w:val="none"/>
                <w:vertAlign w:val="baseline"/>
                <w:lang w:val="en-US" w:eastAsia="zh-CN"/>
              </w:rPr>
              <w:t>3分钟内到达床旁，</w:t>
            </w:r>
            <w:r>
              <w:rPr>
                <w:rFonts w:hint="default" w:ascii="Times New Roman" w:hAnsi="Times New Roman" w:eastAsia="宋体" w:cs="Times New Roman"/>
                <w:b w:val="0"/>
                <w:bCs w:val="0"/>
                <w:sz w:val="21"/>
                <w:szCs w:val="21"/>
                <w:highlight w:val="none"/>
                <w:vertAlign w:val="baseline"/>
              </w:rPr>
              <w:t>患者有需求时及时协助床上使用便器或如厕，</w:t>
            </w:r>
            <w:r>
              <w:rPr>
                <w:rFonts w:hint="eastAsia" w:ascii="Times New Roman" w:hAnsi="Times New Roman" w:eastAsia="宋体" w:cs="Times New Roman"/>
                <w:b w:val="0"/>
                <w:bCs w:val="0"/>
                <w:sz w:val="21"/>
                <w:szCs w:val="21"/>
                <w:highlight w:val="none"/>
                <w:vertAlign w:val="baseline"/>
                <w:lang w:eastAsia="zh-CN"/>
              </w:rPr>
              <w:t>便后</w:t>
            </w:r>
            <w:r>
              <w:rPr>
                <w:rFonts w:hint="default" w:ascii="Times New Roman" w:hAnsi="Times New Roman" w:eastAsia="宋体" w:cs="Times New Roman"/>
                <w:b w:val="0"/>
                <w:bCs w:val="0"/>
                <w:sz w:val="21"/>
                <w:szCs w:val="21"/>
                <w:highlight w:val="none"/>
                <w:vertAlign w:val="baseline"/>
              </w:rPr>
              <w:t>及时清洁</w:t>
            </w:r>
            <w:r>
              <w:rPr>
                <w:rFonts w:hint="eastAsia" w:ascii="Times New Roman" w:hAnsi="Times New Roman" w:eastAsia="宋体" w:cs="Times New Roman"/>
                <w:b w:val="0"/>
                <w:bCs w:val="0"/>
                <w:sz w:val="21"/>
                <w:szCs w:val="21"/>
                <w:highlight w:val="none"/>
                <w:vertAlign w:val="baseline"/>
                <w:lang w:eastAsia="zh-CN"/>
              </w:rPr>
              <w:t>无异味。</w:t>
            </w:r>
          </w:p>
          <w:p w14:paraId="3A5A7B10">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auto"/>
              <w:rPr>
                <w:rFonts w:hint="default" w:ascii="Times New Roman" w:hAnsi="Times New Roman" w:eastAsia="宋体" w:cs="Times New Roman"/>
                <w:b w:val="0"/>
                <w:bCs w:val="0"/>
                <w:sz w:val="21"/>
                <w:szCs w:val="21"/>
                <w:highlight w:val="none"/>
                <w:vertAlign w:val="baseline"/>
              </w:rPr>
            </w:pPr>
            <w:r>
              <w:rPr>
                <w:rFonts w:hint="eastAsia" w:ascii="仿宋" w:hAnsi="仿宋" w:eastAsia="仿宋" w:cs="仿宋"/>
                <w:b w:val="0"/>
                <w:bCs w:val="0"/>
                <w:sz w:val="21"/>
                <w:szCs w:val="21"/>
                <w:highlight w:val="none"/>
                <w:vertAlign w:val="baseline"/>
              </w:rPr>
              <w:t>·</w:t>
            </w:r>
            <w:r>
              <w:rPr>
                <w:rFonts w:hint="default" w:ascii="Times New Roman" w:hAnsi="Times New Roman" w:eastAsia="宋体" w:cs="Times New Roman"/>
                <w:b w:val="0"/>
                <w:bCs w:val="0"/>
                <w:sz w:val="21"/>
                <w:szCs w:val="21"/>
                <w:highlight w:val="none"/>
                <w:vertAlign w:val="baseline"/>
              </w:rPr>
              <w:t>固定频次：温水冲洗</w:t>
            </w:r>
            <w:r>
              <w:rPr>
                <w:rFonts w:hint="eastAsia" w:ascii="Times New Roman" w:hAnsi="Times New Roman" w:eastAsia="宋体" w:cs="Times New Roman"/>
                <w:b w:val="0"/>
                <w:bCs w:val="0"/>
                <w:sz w:val="21"/>
                <w:szCs w:val="21"/>
                <w:highlight w:val="none"/>
                <w:vertAlign w:val="baseline"/>
                <w:lang w:eastAsia="zh-CN"/>
              </w:rPr>
              <w:t>会阴部</w:t>
            </w:r>
            <w:r>
              <w:rPr>
                <w:rFonts w:hint="default" w:ascii="Times New Roman" w:hAnsi="Times New Roman" w:eastAsia="宋体" w:cs="Times New Roman"/>
                <w:b w:val="0"/>
                <w:bCs w:val="0"/>
                <w:sz w:val="21"/>
                <w:szCs w:val="21"/>
                <w:highlight w:val="none"/>
                <w:vertAlign w:val="baseline"/>
              </w:rPr>
              <w:t>，每日2次。</w:t>
            </w:r>
          </w:p>
          <w:p w14:paraId="3C68EEED">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auto"/>
              <w:rPr>
                <w:rFonts w:hint="eastAsia" w:ascii="Times New Roman" w:hAnsi="Times New Roman" w:eastAsia="宋体" w:cs="Times New Roman"/>
                <w:b w:val="0"/>
                <w:bCs w:val="0"/>
                <w:sz w:val="21"/>
                <w:szCs w:val="21"/>
                <w:highlight w:val="none"/>
                <w:vertAlign w:val="baseline"/>
                <w:lang w:eastAsia="zh-CN"/>
              </w:rPr>
            </w:pPr>
            <w:r>
              <w:rPr>
                <w:rFonts w:hint="eastAsia" w:ascii="仿宋" w:hAnsi="仿宋" w:eastAsia="仿宋" w:cs="仿宋"/>
                <w:b w:val="0"/>
                <w:bCs w:val="0"/>
                <w:sz w:val="21"/>
                <w:szCs w:val="21"/>
                <w:highlight w:val="none"/>
                <w:vertAlign w:val="baseline"/>
              </w:rPr>
              <w:t>·</w:t>
            </w:r>
            <w:r>
              <w:rPr>
                <w:rFonts w:hint="default" w:ascii="Times New Roman" w:hAnsi="Times New Roman" w:eastAsia="宋体" w:cs="Times New Roman"/>
                <w:b w:val="0"/>
                <w:bCs w:val="0"/>
                <w:sz w:val="21"/>
                <w:szCs w:val="21"/>
                <w:highlight w:val="none"/>
                <w:vertAlign w:val="baseline"/>
              </w:rPr>
              <w:t>规范处理：正确协助留取标本，按要求处理并倾倒排泄物</w:t>
            </w:r>
            <w:r>
              <w:rPr>
                <w:rFonts w:hint="eastAsia" w:ascii="Times New Roman" w:hAnsi="Times New Roman" w:eastAsia="宋体" w:cs="Times New Roman"/>
                <w:b w:val="0"/>
                <w:bCs w:val="0"/>
                <w:sz w:val="21"/>
                <w:szCs w:val="21"/>
                <w:highlight w:val="none"/>
                <w:vertAlign w:val="baseline"/>
                <w:lang w:eastAsia="zh-CN"/>
              </w:rPr>
              <w:t>。</w:t>
            </w:r>
          </w:p>
          <w:p w14:paraId="01E6FDAE">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auto"/>
              <w:rPr>
                <w:rFonts w:hint="eastAsia" w:ascii="Times New Roman" w:hAnsi="Times New Roman" w:eastAsia="仿宋" w:cs="Times New Roman"/>
                <w:b w:val="0"/>
                <w:bCs w:val="0"/>
                <w:sz w:val="21"/>
                <w:szCs w:val="21"/>
                <w:highlight w:val="none"/>
                <w:vertAlign w:val="baseline"/>
                <w:lang w:eastAsia="zh-CN"/>
              </w:rPr>
            </w:pPr>
            <w:r>
              <w:rPr>
                <w:rFonts w:hint="eastAsia" w:ascii="仿宋" w:hAnsi="仿宋" w:eastAsia="仿宋" w:cs="仿宋"/>
                <w:b w:val="0"/>
                <w:bCs w:val="0"/>
                <w:sz w:val="21"/>
                <w:szCs w:val="21"/>
                <w:highlight w:val="none"/>
                <w:vertAlign w:val="baseline"/>
              </w:rPr>
              <w:t>·</w:t>
            </w:r>
            <w:r>
              <w:rPr>
                <w:rFonts w:hint="eastAsia" w:ascii="Times New Roman" w:hAnsi="Times New Roman" w:eastAsia="宋体" w:cs="Times New Roman"/>
                <w:b w:val="0"/>
                <w:bCs w:val="0"/>
                <w:sz w:val="21"/>
                <w:szCs w:val="21"/>
                <w:highlight w:val="none"/>
                <w:vertAlign w:val="baseline"/>
                <w:lang w:eastAsia="zh-CN"/>
              </w:rPr>
              <w:t>照护期间确保皮肤不受损。</w:t>
            </w:r>
          </w:p>
        </w:tc>
      </w:tr>
      <w:tr w14:paraId="14DEAC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0" w:type="dxa"/>
            <w:vMerge w:val="continue"/>
            <w:vAlign w:val="center"/>
          </w:tcPr>
          <w:p w14:paraId="06C83D05">
            <w:pPr>
              <w:keepNext w:val="0"/>
              <w:keepLines w:val="0"/>
              <w:pageBreakBefore w:val="0"/>
              <w:kinsoku/>
              <w:wordWrap/>
              <w:overflowPunct/>
              <w:topLinePunct w:val="0"/>
              <w:autoSpaceDE/>
              <w:autoSpaceDN/>
              <w:bidi w:val="0"/>
              <w:adjustRightInd/>
              <w:snapToGrid/>
              <w:spacing w:line="440" w:lineRule="exact"/>
              <w:jc w:val="both"/>
              <w:textAlignment w:val="auto"/>
              <w:rPr>
                <w:rFonts w:hint="default" w:ascii="Times New Roman" w:hAnsi="Times New Roman" w:eastAsia="宋体" w:cs="Times New Roman"/>
                <w:b w:val="0"/>
                <w:bCs w:val="0"/>
                <w:sz w:val="21"/>
                <w:szCs w:val="21"/>
                <w:highlight w:val="none"/>
                <w:vertAlign w:val="baseline"/>
              </w:rPr>
            </w:pPr>
          </w:p>
        </w:tc>
        <w:tc>
          <w:tcPr>
            <w:tcW w:w="878" w:type="dxa"/>
            <w:vAlign w:val="center"/>
          </w:tcPr>
          <w:p w14:paraId="70C5B44B">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auto"/>
              <w:rPr>
                <w:rFonts w:hint="default" w:ascii="Times New Roman" w:hAnsi="Times New Roman" w:eastAsia="宋体" w:cs="Times New Roman"/>
                <w:b w:val="0"/>
                <w:bCs w:val="0"/>
                <w:sz w:val="21"/>
                <w:szCs w:val="21"/>
                <w:highlight w:val="none"/>
                <w:vertAlign w:val="baseline"/>
              </w:rPr>
            </w:pPr>
            <w:r>
              <w:rPr>
                <w:rStyle w:val="49"/>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睡眠照护</w:t>
            </w:r>
          </w:p>
        </w:tc>
        <w:tc>
          <w:tcPr>
            <w:tcW w:w="2122" w:type="dxa"/>
            <w:vAlign w:val="center"/>
          </w:tcPr>
          <w:p w14:paraId="4A2E5FEE">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auto"/>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pPr>
            <w:r>
              <w:rPr>
                <w:rFonts w:hint="eastAsia" w:ascii="Times New Roman" w:hAnsi="Times New Roman" w:eastAsia="宋体" w:cs="Times New Roman"/>
                <w:b w:val="0"/>
                <w:bCs w:val="0"/>
                <w:i w:val="0"/>
                <w:iCs w:val="0"/>
                <w:caps w:val="0"/>
                <w:color w:val="0F1115"/>
                <w:spacing w:val="0"/>
                <w:kern w:val="0"/>
                <w:sz w:val="21"/>
                <w:szCs w:val="21"/>
                <w:highlight w:val="none"/>
                <w:lang w:val="en-US" w:eastAsia="zh-CN" w:bidi="ar"/>
              </w:rPr>
              <w:t>（1）</w:t>
            </w:r>
            <w:r>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营造睡眠环境。</w:t>
            </w:r>
          </w:p>
          <w:p w14:paraId="6DAD0F17">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auto"/>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pPr>
            <w:r>
              <w:rPr>
                <w:rFonts w:hint="eastAsia" w:ascii="Times New Roman" w:hAnsi="Times New Roman" w:eastAsia="宋体" w:cs="Times New Roman"/>
                <w:b w:val="0"/>
                <w:bCs w:val="0"/>
                <w:i w:val="0"/>
                <w:iCs w:val="0"/>
                <w:caps w:val="0"/>
                <w:color w:val="0F1115"/>
                <w:spacing w:val="0"/>
                <w:kern w:val="0"/>
                <w:sz w:val="21"/>
                <w:szCs w:val="21"/>
                <w:highlight w:val="none"/>
                <w:lang w:val="en-US" w:eastAsia="zh-CN" w:bidi="ar"/>
              </w:rPr>
              <w:t>（2）</w:t>
            </w:r>
            <w:r>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巡视睡眠情况。</w:t>
            </w:r>
          </w:p>
        </w:tc>
        <w:tc>
          <w:tcPr>
            <w:tcW w:w="5327" w:type="dxa"/>
            <w:vAlign w:val="center"/>
          </w:tcPr>
          <w:p w14:paraId="6D43FDAD">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auto"/>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pPr>
            <w:r>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•每日布置：午间、夜间睡眠前调整光线、噪音等环境因素。</w:t>
            </w:r>
          </w:p>
          <w:p w14:paraId="0ED477F9">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auto"/>
              <w:rPr>
                <w:rFonts w:hint="default" w:ascii="Times New Roman" w:hAnsi="Times New Roman" w:eastAsia="宋体" w:cs="Times New Roman"/>
                <w:b w:val="0"/>
                <w:bCs w:val="0"/>
                <w:sz w:val="21"/>
                <w:szCs w:val="21"/>
                <w:highlight w:val="none"/>
                <w:vertAlign w:val="baseline"/>
              </w:rPr>
            </w:pPr>
            <w:r>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•定时巡视：</w:t>
            </w:r>
            <w:r>
              <w:rPr>
                <w:rFonts w:hint="eastAsia" w:ascii="Times New Roman" w:hAnsi="Times New Roman" w:eastAsia="宋体" w:cs="Times New Roman"/>
                <w:b w:val="0"/>
                <w:bCs w:val="0"/>
                <w:i w:val="0"/>
                <w:iCs w:val="0"/>
                <w:caps w:val="0"/>
                <w:color w:val="0F1115"/>
                <w:spacing w:val="0"/>
                <w:kern w:val="0"/>
                <w:sz w:val="21"/>
                <w:szCs w:val="21"/>
                <w:highlight w:val="none"/>
                <w:lang w:val="en-US" w:eastAsia="zh-CN" w:bidi="ar"/>
              </w:rPr>
              <w:t>定期（30min）</w:t>
            </w:r>
            <w:r>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主动巡视</w:t>
            </w:r>
            <w:r>
              <w:rPr>
                <w:rFonts w:hint="eastAsia" w:ascii="Times New Roman" w:hAnsi="Times New Roman" w:eastAsia="宋体" w:cs="Times New Roman"/>
                <w:b w:val="0"/>
                <w:bCs w:val="0"/>
                <w:i w:val="0"/>
                <w:iCs w:val="0"/>
                <w:caps w:val="0"/>
                <w:color w:val="0F1115"/>
                <w:spacing w:val="0"/>
                <w:kern w:val="0"/>
                <w:sz w:val="21"/>
                <w:szCs w:val="21"/>
                <w:highlight w:val="none"/>
                <w:lang w:val="en-US" w:eastAsia="zh-CN" w:bidi="ar"/>
              </w:rPr>
              <w:t>病房</w:t>
            </w:r>
            <w:r>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，及时发现并响应影响睡眠的需求</w:t>
            </w:r>
            <w:r>
              <w:rPr>
                <w:rFonts w:hint="eastAsia" w:ascii="Times New Roman" w:hAnsi="Times New Roman" w:eastAsia="宋体" w:cs="Times New Roman"/>
                <w:b w:val="0"/>
                <w:bCs w:val="0"/>
                <w:i w:val="0"/>
                <w:iCs w:val="0"/>
                <w:caps w:val="0"/>
                <w:color w:val="0F1115"/>
                <w:spacing w:val="0"/>
                <w:kern w:val="0"/>
                <w:sz w:val="21"/>
                <w:szCs w:val="21"/>
                <w:highlight w:val="none"/>
                <w:lang w:val="en-US" w:eastAsia="zh-CN" w:bidi="ar"/>
              </w:rPr>
              <w:t>，及时发现及避免患者出现安全事件，如睡眠不佳引起下地后的跌倒、走失、脱管等。</w:t>
            </w:r>
          </w:p>
        </w:tc>
      </w:tr>
      <w:tr w14:paraId="55845B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0" w:type="dxa"/>
            <w:vMerge w:val="restart"/>
            <w:vAlign w:val="center"/>
          </w:tcPr>
          <w:p w14:paraId="487F5241">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auto"/>
              <w:rPr>
                <w:rFonts w:hint="default" w:ascii="Times New Roman" w:hAnsi="Times New Roman" w:eastAsia="宋体" w:cs="Times New Roman"/>
                <w:b w:val="0"/>
                <w:bCs w:val="0"/>
                <w:sz w:val="21"/>
                <w:szCs w:val="21"/>
                <w:highlight w:val="none"/>
                <w:vertAlign w:val="baseline"/>
              </w:rPr>
            </w:pPr>
            <w:r>
              <w:rPr>
                <w:rStyle w:val="49"/>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2.基础护理辅助</w:t>
            </w:r>
          </w:p>
        </w:tc>
        <w:tc>
          <w:tcPr>
            <w:tcW w:w="878" w:type="dxa"/>
            <w:vAlign w:val="center"/>
          </w:tcPr>
          <w:p w14:paraId="24EBC325">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auto"/>
              <w:rPr>
                <w:rFonts w:hint="default" w:ascii="Times New Roman" w:hAnsi="Times New Roman" w:eastAsia="宋体" w:cs="Times New Roman"/>
                <w:b w:val="0"/>
                <w:bCs w:val="0"/>
                <w:sz w:val="21"/>
                <w:szCs w:val="21"/>
                <w:highlight w:val="none"/>
                <w:vertAlign w:val="baseline"/>
              </w:rPr>
            </w:pPr>
            <w:r>
              <w:rPr>
                <w:rStyle w:val="49"/>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体位护理</w:t>
            </w:r>
          </w:p>
        </w:tc>
        <w:tc>
          <w:tcPr>
            <w:tcW w:w="2122" w:type="dxa"/>
            <w:vAlign w:val="center"/>
          </w:tcPr>
          <w:p w14:paraId="3C843279">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auto"/>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pPr>
            <w:r>
              <w:rPr>
                <w:rFonts w:hint="eastAsia" w:ascii="Times New Roman" w:hAnsi="Times New Roman" w:eastAsia="宋体" w:cs="Times New Roman"/>
                <w:b w:val="0"/>
                <w:bCs w:val="0"/>
                <w:i w:val="0"/>
                <w:iCs w:val="0"/>
                <w:caps w:val="0"/>
                <w:color w:val="0F1115"/>
                <w:spacing w:val="0"/>
                <w:kern w:val="0"/>
                <w:sz w:val="21"/>
                <w:szCs w:val="21"/>
                <w:highlight w:val="none"/>
                <w:lang w:val="en-US" w:eastAsia="zh-CN" w:bidi="ar"/>
              </w:rPr>
              <w:t>（1）</w:t>
            </w:r>
            <w:r>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协助患者移动与翻身。</w:t>
            </w:r>
          </w:p>
          <w:p w14:paraId="4EFC9010">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auto"/>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pPr>
            <w:r>
              <w:rPr>
                <w:rFonts w:hint="eastAsia" w:ascii="Times New Roman" w:hAnsi="Times New Roman" w:eastAsia="宋体" w:cs="Times New Roman"/>
                <w:b w:val="0"/>
                <w:bCs w:val="0"/>
                <w:i w:val="0"/>
                <w:iCs w:val="0"/>
                <w:caps w:val="0"/>
                <w:color w:val="0F1115"/>
                <w:spacing w:val="0"/>
                <w:kern w:val="0"/>
                <w:sz w:val="21"/>
                <w:szCs w:val="21"/>
                <w:highlight w:val="none"/>
                <w:lang w:val="en-US" w:eastAsia="zh-CN" w:bidi="ar"/>
              </w:rPr>
              <w:t>（2）</w:t>
            </w:r>
            <w:r>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协助卧床患者功能锻炼。</w:t>
            </w:r>
          </w:p>
        </w:tc>
        <w:tc>
          <w:tcPr>
            <w:tcW w:w="5327" w:type="dxa"/>
            <w:vAlign w:val="center"/>
          </w:tcPr>
          <w:p w14:paraId="3657BA01">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auto"/>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pPr>
            <w:r>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•预防性护理：根据病情协助有效翻身、拍背，预防压力性损伤发生</w:t>
            </w:r>
            <w:r>
              <w:rPr>
                <w:rFonts w:hint="eastAsia" w:ascii="Times New Roman" w:hAnsi="Times New Roman" w:eastAsia="宋体" w:cs="Times New Roman"/>
                <w:b w:val="0"/>
                <w:bCs w:val="0"/>
                <w:i w:val="0"/>
                <w:iCs w:val="0"/>
                <w:caps w:val="0"/>
                <w:color w:val="0F1115"/>
                <w:spacing w:val="0"/>
                <w:kern w:val="0"/>
                <w:sz w:val="21"/>
                <w:szCs w:val="21"/>
                <w:highlight w:val="none"/>
                <w:lang w:val="en-US" w:eastAsia="zh-CN" w:bidi="ar"/>
              </w:rPr>
              <w:t>，</w:t>
            </w:r>
          </w:p>
          <w:p w14:paraId="61221A64">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auto"/>
              <w:rPr>
                <w:rFonts w:hint="default" w:ascii="Times New Roman" w:hAnsi="Times New Roman" w:eastAsia="宋体" w:cs="Times New Roman"/>
                <w:b w:val="0"/>
                <w:bCs w:val="0"/>
                <w:sz w:val="21"/>
                <w:szCs w:val="21"/>
                <w:highlight w:val="none"/>
                <w:vertAlign w:val="baseline"/>
              </w:rPr>
            </w:pPr>
            <w:r>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•规律执行：为卧床患者安置舒适体位，</w:t>
            </w:r>
            <w:r>
              <w:rPr>
                <w:rFonts w:hint="eastAsia" w:ascii="Times New Roman" w:hAnsi="Times New Roman" w:eastAsia="宋体" w:cs="Times New Roman"/>
                <w:b w:val="0"/>
                <w:bCs w:val="0"/>
                <w:i w:val="0"/>
                <w:iCs w:val="0"/>
                <w:caps w:val="0"/>
                <w:color w:val="0F1115"/>
                <w:spacing w:val="0"/>
                <w:kern w:val="0"/>
                <w:sz w:val="21"/>
                <w:szCs w:val="21"/>
                <w:highlight w:val="none"/>
                <w:lang w:val="en-US" w:eastAsia="zh-CN" w:bidi="ar"/>
              </w:rPr>
              <w:t>每2小时翻身一次</w:t>
            </w:r>
            <w:r>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并每日至少2次协助四肢功能锻炼。</w:t>
            </w:r>
          </w:p>
        </w:tc>
      </w:tr>
      <w:tr w14:paraId="3D0529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0" w:type="dxa"/>
            <w:vMerge w:val="continue"/>
            <w:vAlign w:val="center"/>
          </w:tcPr>
          <w:p w14:paraId="3DDB6AEB">
            <w:pPr>
              <w:keepNext w:val="0"/>
              <w:keepLines w:val="0"/>
              <w:pageBreakBefore w:val="0"/>
              <w:kinsoku/>
              <w:wordWrap/>
              <w:overflowPunct/>
              <w:topLinePunct w:val="0"/>
              <w:autoSpaceDE/>
              <w:autoSpaceDN/>
              <w:bidi w:val="0"/>
              <w:adjustRightInd/>
              <w:snapToGrid/>
              <w:spacing w:line="440" w:lineRule="exact"/>
              <w:jc w:val="both"/>
              <w:textAlignment w:val="auto"/>
              <w:rPr>
                <w:rFonts w:hint="default" w:ascii="Times New Roman" w:hAnsi="Times New Roman" w:eastAsia="宋体" w:cs="Times New Roman"/>
                <w:b w:val="0"/>
                <w:bCs w:val="0"/>
                <w:sz w:val="21"/>
                <w:szCs w:val="21"/>
                <w:highlight w:val="none"/>
                <w:vertAlign w:val="baseline"/>
              </w:rPr>
            </w:pPr>
          </w:p>
        </w:tc>
        <w:tc>
          <w:tcPr>
            <w:tcW w:w="878" w:type="dxa"/>
            <w:vAlign w:val="center"/>
          </w:tcPr>
          <w:p w14:paraId="43C46DD1">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auto"/>
              <w:rPr>
                <w:rFonts w:hint="default" w:ascii="Times New Roman" w:hAnsi="Times New Roman" w:eastAsia="宋体" w:cs="Times New Roman"/>
                <w:b w:val="0"/>
                <w:bCs w:val="0"/>
                <w:sz w:val="21"/>
                <w:szCs w:val="21"/>
                <w:highlight w:val="none"/>
                <w:vertAlign w:val="baseline"/>
              </w:rPr>
            </w:pPr>
            <w:r>
              <w:rPr>
                <w:rStyle w:val="49"/>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管道护理</w:t>
            </w:r>
          </w:p>
        </w:tc>
        <w:tc>
          <w:tcPr>
            <w:tcW w:w="2122" w:type="dxa"/>
            <w:vAlign w:val="center"/>
          </w:tcPr>
          <w:p w14:paraId="04ECF1C1">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auto"/>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pPr>
            <w:r>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协助护士进行各类管道管理</w:t>
            </w:r>
          </w:p>
        </w:tc>
        <w:tc>
          <w:tcPr>
            <w:tcW w:w="5327" w:type="dxa"/>
            <w:vAlign w:val="center"/>
          </w:tcPr>
          <w:p w14:paraId="05729638">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auto"/>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pPr>
            <w:r>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•保持通畅：保持管道在位、通畅，避免受压、扭曲、脱出。</w:t>
            </w:r>
          </w:p>
          <w:p w14:paraId="1B008729">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auto"/>
              <w:rPr>
                <w:rFonts w:hint="default" w:ascii="Times New Roman" w:hAnsi="Times New Roman" w:eastAsia="宋体" w:cs="Times New Roman"/>
                <w:b w:val="0"/>
                <w:bCs w:val="0"/>
                <w:sz w:val="21"/>
                <w:szCs w:val="21"/>
                <w:highlight w:val="none"/>
                <w:vertAlign w:val="baseline"/>
              </w:rPr>
            </w:pPr>
            <w:r>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•及时报告：任何管道异常（如移位、堵塞）立即告知护士。</w:t>
            </w:r>
          </w:p>
        </w:tc>
      </w:tr>
      <w:tr w14:paraId="080F2A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0" w:type="dxa"/>
            <w:vMerge w:val="continue"/>
            <w:vAlign w:val="center"/>
          </w:tcPr>
          <w:p w14:paraId="14E69120">
            <w:pPr>
              <w:keepNext w:val="0"/>
              <w:keepLines w:val="0"/>
              <w:pageBreakBefore w:val="0"/>
              <w:kinsoku/>
              <w:wordWrap/>
              <w:overflowPunct/>
              <w:topLinePunct w:val="0"/>
              <w:autoSpaceDE/>
              <w:autoSpaceDN/>
              <w:bidi w:val="0"/>
              <w:adjustRightInd/>
              <w:snapToGrid/>
              <w:spacing w:line="440" w:lineRule="exact"/>
              <w:jc w:val="both"/>
              <w:textAlignment w:val="auto"/>
              <w:rPr>
                <w:rFonts w:hint="default" w:ascii="Times New Roman" w:hAnsi="Times New Roman" w:eastAsia="宋体" w:cs="Times New Roman"/>
                <w:b w:val="0"/>
                <w:bCs w:val="0"/>
                <w:sz w:val="21"/>
                <w:szCs w:val="21"/>
                <w:highlight w:val="none"/>
                <w:vertAlign w:val="baseline"/>
              </w:rPr>
            </w:pPr>
          </w:p>
        </w:tc>
        <w:tc>
          <w:tcPr>
            <w:tcW w:w="878" w:type="dxa"/>
            <w:vAlign w:val="center"/>
          </w:tcPr>
          <w:p w14:paraId="6663756F">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auto"/>
              <w:rPr>
                <w:rFonts w:hint="default" w:ascii="Times New Roman" w:hAnsi="Times New Roman" w:eastAsia="宋体" w:cs="Times New Roman"/>
                <w:b w:val="0"/>
                <w:bCs w:val="0"/>
                <w:sz w:val="21"/>
                <w:szCs w:val="21"/>
                <w:highlight w:val="none"/>
                <w:vertAlign w:val="baseline"/>
              </w:rPr>
            </w:pPr>
            <w:r>
              <w:rPr>
                <w:rStyle w:val="49"/>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陪检服务</w:t>
            </w:r>
          </w:p>
        </w:tc>
        <w:tc>
          <w:tcPr>
            <w:tcW w:w="2122" w:type="dxa"/>
            <w:vAlign w:val="center"/>
          </w:tcPr>
          <w:p w14:paraId="5C94106F">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auto"/>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pPr>
            <w:r>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陪同患者外出检查/治疗</w:t>
            </w:r>
          </w:p>
        </w:tc>
        <w:tc>
          <w:tcPr>
            <w:tcW w:w="5327" w:type="dxa"/>
            <w:vAlign w:val="center"/>
          </w:tcPr>
          <w:p w14:paraId="4E1C3B3B">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auto"/>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pPr>
            <w:r>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•全程安全：全程陪同，做好途中安全防护（如防跌倒、防走失）。</w:t>
            </w:r>
          </w:p>
          <w:p w14:paraId="47F2A7FF">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auto"/>
              <w:rPr>
                <w:rFonts w:hint="default" w:ascii="Times New Roman" w:hAnsi="Times New Roman" w:eastAsia="宋体" w:cs="Times New Roman"/>
                <w:b w:val="0"/>
                <w:bCs w:val="0"/>
                <w:sz w:val="21"/>
                <w:szCs w:val="21"/>
                <w:highlight w:val="none"/>
                <w:vertAlign w:val="baseline"/>
              </w:rPr>
            </w:pPr>
            <w:r>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•信息闭环：检查结束后，及时向主管护士反馈情况。</w:t>
            </w:r>
          </w:p>
        </w:tc>
      </w:tr>
      <w:tr w14:paraId="243A5F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0" w:type="dxa"/>
            <w:vMerge w:val="continue"/>
            <w:vAlign w:val="center"/>
          </w:tcPr>
          <w:p w14:paraId="72D14343">
            <w:pPr>
              <w:keepNext w:val="0"/>
              <w:keepLines w:val="0"/>
              <w:pageBreakBefore w:val="0"/>
              <w:kinsoku/>
              <w:wordWrap/>
              <w:overflowPunct/>
              <w:topLinePunct w:val="0"/>
              <w:autoSpaceDE/>
              <w:autoSpaceDN/>
              <w:bidi w:val="0"/>
              <w:adjustRightInd/>
              <w:snapToGrid/>
              <w:spacing w:line="440" w:lineRule="exact"/>
              <w:jc w:val="both"/>
              <w:textAlignment w:val="auto"/>
              <w:rPr>
                <w:rFonts w:hint="default" w:ascii="Times New Roman" w:hAnsi="Times New Roman" w:eastAsia="宋体" w:cs="Times New Roman"/>
                <w:b w:val="0"/>
                <w:bCs w:val="0"/>
                <w:sz w:val="21"/>
                <w:szCs w:val="21"/>
                <w:highlight w:val="none"/>
                <w:vertAlign w:val="baseline"/>
              </w:rPr>
            </w:pPr>
          </w:p>
        </w:tc>
        <w:tc>
          <w:tcPr>
            <w:tcW w:w="878" w:type="dxa"/>
            <w:vAlign w:val="center"/>
          </w:tcPr>
          <w:p w14:paraId="1742AD64">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auto"/>
              <w:rPr>
                <w:rFonts w:hint="default" w:ascii="Times New Roman" w:hAnsi="Times New Roman" w:eastAsia="宋体" w:cs="Times New Roman"/>
                <w:b w:val="0"/>
                <w:bCs w:val="0"/>
                <w:sz w:val="21"/>
                <w:szCs w:val="21"/>
                <w:highlight w:val="none"/>
                <w:vertAlign w:val="baseline"/>
              </w:rPr>
            </w:pPr>
            <w:r>
              <w:rPr>
                <w:rStyle w:val="49"/>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环境维护</w:t>
            </w:r>
          </w:p>
        </w:tc>
        <w:tc>
          <w:tcPr>
            <w:tcW w:w="2122" w:type="dxa"/>
            <w:vAlign w:val="center"/>
          </w:tcPr>
          <w:p w14:paraId="200CB76E">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auto"/>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pPr>
            <w:r>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维护病室环境整洁有序</w:t>
            </w:r>
          </w:p>
        </w:tc>
        <w:tc>
          <w:tcPr>
            <w:tcW w:w="5327" w:type="dxa"/>
            <w:vAlign w:val="center"/>
          </w:tcPr>
          <w:p w14:paraId="66567F3F">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auto"/>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pPr>
            <w:r>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•持续保持：病室整洁、安静、无异味，地面清洁干燥。</w:t>
            </w:r>
          </w:p>
          <w:p w14:paraId="32301A5E">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auto"/>
              <w:rPr>
                <w:rFonts w:hint="default" w:ascii="Times New Roman" w:hAnsi="Times New Roman" w:eastAsia="宋体" w:cs="Times New Roman"/>
                <w:b w:val="0"/>
                <w:bCs w:val="0"/>
                <w:sz w:val="21"/>
                <w:szCs w:val="21"/>
                <w:highlight w:val="none"/>
                <w:vertAlign w:val="baseline"/>
              </w:rPr>
            </w:pPr>
            <w:r>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•符合规范：物品摆放符合医院6S管理要求，垃圾废物及时清理</w:t>
            </w:r>
            <w:r>
              <w:rPr>
                <w:rFonts w:hint="eastAsia" w:ascii="Times New Roman" w:hAnsi="Times New Roman" w:eastAsia="宋体" w:cs="Times New Roman"/>
                <w:b w:val="0"/>
                <w:bCs w:val="0"/>
                <w:i w:val="0"/>
                <w:iCs w:val="0"/>
                <w:caps w:val="0"/>
                <w:color w:val="0F1115"/>
                <w:spacing w:val="0"/>
                <w:kern w:val="0"/>
                <w:sz w:val="21"/>
                <w:szCs w:val="21"/>
                <w:highlight w:val="none"/>
                <w:lang w:val="en-US" w:eastAsia="zh-CN" w:bidi="ar"/>
              </w:rPr>
              <w:t>。</w:t>
            </w:r>
          </w:p>
        </w:tc>
      </w:tr>
      <w:tr w14:paraId="1D4A97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0" w:type="dxa"/>
            <w:vMerge w:val="restart"/>
            <w:vAlign w:val="center"/>
          </w:tcPr>
          <w:p w14:paraId="29D0CF85">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auto"/>
              <w:rPr>
                <w:rFonts w:hint="default" w:ascii="Times New Roman" w:hAnsi="Times New Roman" w:eastAsia="宋体" w:cs="Times New Roman"/>
                <w:b w:val="0"/>
                <w:bCs w:val="0"/>
                <w:sz w:val="21"/>
                <w:szCs w:val="21"/>
                <w:highlight w:val="none"/>
                <w:vertAlign w:val="baseline"/>
              </w:rPr>
            </w:pPr>
            <w:r>
              <w:rPr>
                <w:rStyle w:val="49"/>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3.康复及心理支持</w:t>
            </w:r>
          </w:p>
        </w:tc>
        <w:tc>
          <w:tcPr>
            <w:tcW w:w="878" w:type="dxa"/>
            <w:vAlign w:val="center"/>
          </w:tcPr>
          <w:p w14:paraId="7A0848BF">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auto"/>
              <w:rPr>
                <w:rFonts w:hint="default" w:ascii="Times New Roman" w:hAnsi="Times New Roman" w:eastAsia="宋体" w:cs="Times New Roman"/>
                <w:b w:val="0"/>
                <w:bCs w:val="0"/>
                <w:sz w:val="21"/>
                <w:szCs w:val="21"/>
                <w:highlight w:val="none"/>
                <w:vertAlign w:val="baseline"/>
              </w:rPr>
            </w:pPr>
            <w:r>
              <w:rPr>
                <w:rStyle w:val="49"/>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康复协助</w:t>
            </w:r>
          </w:p>
        </w:tc>
        <w:tc>
          <w:tcPr>
            <w:tcW w:w="2122" w:type="dxa"/>
            <w:vAlign w:val="center"/>
          </w:tcPr>
          <w:p w14:paraId="25FB4848">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auto"/>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pPr>
            <w:r>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在</w:t>
            </w:r>
            <w:r>
              <w:rPr>
                <w:rFonts w:hint="eastAsia" w:ascii="Times New Roman" w:hAnsi="Times New Roman" w:eastAsia="宋体" w:cs="Times New Roman"/>
                <w:b w:val="0"/>
                <w:bCs w:val="0"/>
                <w:i w:val="0"/>
                <w:iCs w:val="0"/>
                <w:caps w:val="0"/>
                <w:color w:val="0F1115"/>
                <w:spacing w:val="0"/>
                <w:kern w:val="0"/>
                <w:sz w:val="21"/>
                <w:szCs w:val="21"/>
                <w:highlight w:val="none"/>
                <w:lang w:val="en-US" w:eastAsia="zh-CN" w:bidi="ar"/>
              </w:rPr>
              <w:t>护士或康复师</w:t>
            </w:r>
            <w:r>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指导下协助患者进行康复锻炼</w:t>
            </w:r>
          </w:p>
        </w:tc>
        <w:tc>
          <w:tcPr>
            <w:tcW w:w="5327" w:type="dxa"/>
            <w:vAlign w:val="center"/>
          </w:tcPr>
          <w:p w14:paraId="44646569">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auto"/>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pPr>
            <w:r>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•主动锻炼：为可下地患者协助早期功能锻炼，每日≥2次。</w:t>
            </w:r>
          </w:p>
          <w:p w14:paraId="7C66C475">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auto"/>
              <w:rPr>
                <w:rFonts w:hint="default" w:ascii="Times New Roman" w:hAnsi="Times New Roman" w:eastAsia="宋体" w:cs="Times New Roman"/>
                <w:b w:val="0"/>
                <w:bCs w:val="0"/>
                <w:sz w:val="21"/>
                <w:szCs w:val="21"/>
                <w:highlight w:val="none"/>
                <w:vertAlign w:val="baseline"/>
              </w:rPr>
            </w:pPr>
            <w:r>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•被动锻炼：为行动不便患者协助踝泵运动、肢体被动活动等。</w:t>
            </w:r>
          </w:p>
        </w:tc>
      </w:tr>
      <w:tr w14:paraId="696465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0" w:type="dxa"/>
            <w:vMerge w:val="continue"/>
            <w:vAlign w:val="center"/>
          </w:tcPr>
          <w:p w14:paraId="3CB84022">
            <w:pPr>
              <w:keepNext w:val="0"/>
              <w:keepLines w:val="0"/>
              <w:pageBreakBefore w:val="0"/>
              <w:kinsoku/>
              <w:wordWrap/>
              <w:overflowPunct/>
              <w:topLinePunct w:val="0"/>
              <w:autoSpaceDE/>
              <w:autoSpaceDN/>
              <w:bidi w:val="0"/>
              <w:adjustRightInd/>
              <w:snapToGrid/>
              <w:spacing w:line="440" w:lineRule="exact"/>
              <w:jc w:val="both"/>
              <w:textAlignment w:val="auto"/>
              <w:rPr>
                <w:rFonts w:hint="default" w:ascii="Times New Roman" w:hAnsi="Times New Roman" w:eastAsia="宋体" w:cs="Times New Roman"/>
                <w:b w:val="0"/>
                <w:bCs w:val="0"/>
                <w:sz w:val="21"/>
                <w:szCs w:val="21"/>
                <w:highlight w:val="none"/>
                <w:vertAlign w:val="baseline"/>
              </w:rPr>
            </w:pPr>
          </w:p>
        </w:tc>
        <w:tc>
          <w:tcPr>
            <w:tcW w:w="878" w:type="dxa"/>
            <w:vAlign w:val="center"/>
          </w:tcPr>
          <w:p w14:paraId="5ADF7C6C">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auto"/>
              <w:rPr>
                <w:rFonts w:hint="default" w:ascii="Times New Roman" w:hAnsi="Times New Roman" w:eastAsia="宋体" w:cs="Times New Roman"/>
                <w:b w:val="0"/>
                <w:bCs w:val="0"/>
                <w:sz w:val="21"/>
                <w:szCs w:val="21"/>
                <w:highlight w:val="none"/>
                <w:vertAlign w:val="baseline"/>
              </w:rPr>
            </w:pPr>
            <w:r>
              <w:rPr>
                <w:rStyle w:val="49"/>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心理安抚</w:t>
            </w:r>
          </w:p>
        </w:tc>
        <w:tc>
          <w:tcPr>
            <w:tcW w:w="2122" w:type="dxa"/>
            <w:vAlign w:val="center"/>
          </w:tcPr>
          <w:p w14:paraId="15559AB5">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auto"/>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pPr>
            <w:r>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提供陪伴、沟通与情绪支持</w:t>
            </w:r>
          </w:p>
        </w:tc>
        <w:tc>
          <w:tcPr>
            <w:tcW w:w="5327" w:type="dxa"/>
            <w:vAlign w:val="center"/>
          </w:tcPr>
          <w:p w14:paraId="1BA5D262">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auto"/>
              <w:rPr>
                <w:rFonts w:hint="default" w:ascii="Times New Roman" w:hAnsi="Times New Roman" w:eastAsia="宋体" w:cs="Times New Roman"/>
                <w:b w:val="0"/>
                <w:bCs w:val="0"/>
                <w:sz w:val="21"/>
                <w:szCs w:val="21"/>
                <w:highlight w:val="none"/>
                <w:vertAlign w:val="baseline"/>
              </w:rPr>
            </w:pPr>
            <w:r>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•有效沟通：耐心倾听患者，进行情绪安抚，沟通态度良好。</w:t>
            </w:r>
            <w:r>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br w:type="textWrapping"/>
            </w:r>
            <w:r>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•信息传递：及时将患者的心理诉求或需求反馈给护士或家属。</w:t>
            </w:r>
          </w:p>
        </w:tc>
      </w:tr>
      <w:tr w14:paraId="5EE9DB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0" w:type="dxa"/>
            <w:vMerge w:val="restart"/>
            <w:vAlign w:val="center"/>
          </w:tcPr>
          <w:p w14:paraId="1F6B7A51">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auto"/>
              <w:rPr>
                <w:rFonts w:hint="default" w:ascii="Times New Roman" w:hAnsi="Times New Roman" w:eastAsia="宋体" w:cs="Times New Roman"/>
                <w:b w:val="0"/>
                <w:bCs w:val="0"/>
                <w:sz w:val="21"/>
                <w:szCs w:val="21"/>
                <w:highlight w:val="none"/>
                <w:vertAlign w:val="baseline"/>
              </w:rPr>
            </w:pPr>
            <w:r>
              <w:rPr>
                <w:rStyle w:val="49"/>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4.其他服务</w:t>
            </w:r>
          </w:p>
        </w:tc>
        <w:tc>
          <w:tcPr>
            <w:tcW w:w="878" w:type="dxa"/>
            <w:vAlign w:val="center"/>
          </w:tcPr>
          <w:p w14:paraId="30F7F494">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auto"/>
              <w:rPr>
                <w:rFonts w:hint="default" w:ascii="Times New Roman" w:hAnsi="Times New Roman" w:eastAsia="宋体" w:cs="Times New Roman"/>
                <w:b w:val="0"/>
                <w:bCs w:val="0"/>
                <w:sz w:val="21"/>
                <w:szCs w:val="21"/>
                <w:highlight w:val="none"/>
                <w:vertAlign w:val="baseline"/>
              </w:rPr>
            </w:pPr>
            <w:r>
              <w:rPr>
                <w:rStyle w:val="49"/>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病情观察</w:t>
            </w:r>
          </w:p>
        </w:tc>
        <w:tc>
          <w:tcPr>
            <w:tcW w:w="2122" w:type="dxa"/>
            <w:vAlign w:val="center"/>
          </w:tcPr>
          <w:p w14:paraId="04657027">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auto"/>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pPr>
            <w:r>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在</w:t>
            </w:r>
            <w:r>
              <w:rPr>
                <w:rFonts w:hint="eastAsia" w:ascii="Times New Roman" w:hAnsi="Times New Roman" w:eastAsia="宋体" w:cs="Times New Roman"/>
                <w:b w:val="0"/>
                <w:bCs w:val="0"/>
                <w:i w:val="0"/>
                <w:iCs w:val="0"/>
                <w:caps w:val="0"/>
                <w:color w:val="0F1115"/>
                <w:spacing w:val="0"/>
                <w:kern w:val="0"/>
                <w:sz w:val="21"/>
                <w:szCs w:val="21"/>
                <w:highlight w:val="none"/>
                <w:lang w:val="en-US" w:eastAsia="zh-CN" w:bidi="ar"/>
              </w:rPr>
              <w:t>护士</w:t>
            </w:r>
            <w:r>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指导下观察患者病情与输液情况</w:t>
            </w:r>
          </w:p>
        </w:tc>
        <w:tc>
          <w:tcPr>
            <w:tcW w:w="5327" w:type="dxa"/>
            <w:vAlign w:val="center"/>
          </w:tcPr>
          <w:p w14:paraId="60BCE749">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auto"/>
              <w:rPr>
                <w:rFonts w:hint="default" w:ascii="Times New Roman" w:hAnsi="Times New Roman" w:eastAsia="宋体" w:cs="Times New Roman"/>
                <w:b w:val="0"/>
                <w:bCs w:val="0"/>
                <w:sz w:val="21"/>
                <w:szCs w:val="21"/>
                <w:highlight w:val="none"/>
                <w:vertAlign w:val="baseline"/>
              </w:rPr>
            </w:pPr>
            <w:r>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•主动巡视</w:t>
            </w:r>
            <w:r>
              <w:rPr>
                <w:rFonts w:hint="eastAsia" w:ascii="Times New Roman" w:hAnsi="Times New Roman" w:eastAsia="宋体" w:cs="Times New Roman"/>
                <w:b w:val="0"/>
                <w:bCs w:val="0"/>
                <w:i w:val="0"/>
                <w:iCs w:val="0"/>
                <w:caps w:val="0"/>
                <w:color w:val="0F1115"/>
                <w:spacing w:val="0"/>
                <w:kern w:val="0"/>
                <w:sz w:val="21"/>
                <w:szCs w:val="21"/>
                <w:highlight w:val="none"/>
                <w:lang w:val="en-US" w:eastAsia="zh-CN" w:bidi="ar"/>
              </w:rPr>
              <w:t>（定期30min巡视）</w:t>
            </w:r>
            <w:r>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：注意输液进度、穿刺部位及早期症状。</w:t>
            </w:r>
            <w:r>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br w:type="textWrapping"/>
            </w:r>
            <w:r>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•及时报告：发现神志、呕吐</w:t>
            </w:r>
            <w:r>
              <w:rPr>
                <w:rFonts w:hint="eastAsia" w:ascii="Times New Roman" w:hAnsi="Times New Roman" w:eastAsia="宋体" w:cs="Times New Roman"/>
                <w:b w:val="0"/>
                <w:bCs w:val="0"/>
                <w:i w:val="0"/>
                <w:iCs w:val="0"/>
                <w:caps w:val="0"/>
                <w:color w:val="0F1115"/>
                <w:spacing w:val="0"/>
                <w:kern w:val="0"/>
                <w:sz w:val="21"/>
                <w:szCs w:val="21"/>
                <w:highlight w:val="none"/>
                <w:lang w:val="en-US" w:eastAsia="zh-CN" w:bidi="ar"/>
              </w:rPr>
              <w:t>、输液穿刺部位肿胀</w:t>
            </w:r>
            <w:r>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等任何异常情况，立即通知护士。</w:t>
            </w:r>
          </w:p>
        </w:tc>
      </w:tr>
      <w:tr w14:paraId="2B32A8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0" w:type="dxa"/>
            <w:vMerge w:val="continue"/>
            <w:vAlign w:val="center"/>
          </w:tcPr>
          <w:p w14:paraId="3BBB2ECD">
            <w:pPr>
              <w:keepNext w:val="0"/>
              <w:keepLines w:val="0"/>
              <w:pageBreakBefore w:val="0"/>
              <w:kinsoku/>
              <w:wordWrap/>
              <w:overflowPunct/>
              <w:topLinePunct w:val="0"/>
              <w:autoSpaceDE/>
              <w:autoSpaceDN/>
              <w:bidi w:val="0"/>
              <w:adjustRightInd/>
              <w:snapToGrid/>
              <w:spacing w:line="440" w:lineRule="exact"/>
              <w:jc w:val="both"/>
              <w:textAlignment w:val="auto"/>
              <w:rPr>
                <w:rFonts w:hint="default" w:ascii="Times New Roman" w:hAnsi="Times New Roman" w:eastAsia="宋体" w:cs="Times New Roman"/>
                <w:b w:val="0"/>
                <w:bCs w:val="0"/>
                <w:sz w:val="21"/>
                <w:szCs w:val="21"/>
                <w:highlight w:val="none"/>
                <w:vertAlign w:val="baseline"/>
              </w:rPr>
            </w:pPr>
          </w:p>
        </w:tc>
        <w:tc>
          <w:tcPr>
            <w:tcW w:w="878" w:type="dxa"/>
            <w:vAlign w:val="center"/>
          </w:tcPr>
          <w:p w14:paraId="66BFD703">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auto"/>
              <w:rPr>
                <w:rFonts w:hint="default" w:ascii="Times New Roman" w:hAnsi="Times New Roman" w:eastAsia="宋体" w:cs="Times New Roman"/>
                <w:b w:val="0"/>
                <w:bCs w:val="0"/>
                <w:sz w:val="21"/>
                <w:szCs w:val="21"/>
                <w:highlight w:val="none"/>
                <w:vertAlign w:val="baseline"/>
              </w:rPr>
            </w:pPr>
            <w:r>
              <w:rPr>
                <w:rStyle w:val="49"/>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交接管理</w:t>
            </w:r>
          </w:p>
        </w:tc>
        <w:tc>
          <w:tcPr>
            <w:tcW w:w="2122" w:type="dxa"/>
            <w:vAlign w:val="center"/>
          </w:tcPr>
          <w:p w14:paraId="4062C393">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auto"/>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pPr>
            <w:r>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执行床边交接班</w:t>
            </w:r>
          </w:p>
        </w:tc>
        <w:tc>
          <w:tcPr>
            <w:tcW w:w="5327" w:type="dxa"/>
            <w:vAlign w:val="center"/>
          </w:tcPr>
          <w:p w14:paraId="2029D1E6">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auto"/>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pPr>
            <w:r>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•规范交接：</w:t>
            </w:r>
            <w:r>
              <w:rPr>
                <w:rFonts w:hint="eastAsia" w:ascii="Times New Roman" w:hAnsi="Times New Roman" w:eastAsia="宋体" w:cs="Times New Roman"/>
                <w:b w:val="0"/>
                <w:bCs w:val="0"/>
                <w:i w:val="0"/>
                <w:iCs w:val="0"/>
                <w:caps w:val="0"/>
                <w:color w:val="0F1115"/>
                <w:spacing w:val="0"/>
                <w:kern w:val="0"/>
                <w:sz w:val="21"/>
                <w:szCs w:val="21"/>
                <w:highlight w:val="none"/>
                <w:lang w:val="en-US" w:eastAsia="zh-CN" w:bidi="ar"/>
              </w:rPr>
              <w:t>跟随护士交接班，</w:t>
            </w:r>
            <w:r>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上下班时与</w:t>
            </w:r>
            <w:r>
              <w:rPr>
                <w:rFonts w:hint="eastAsia" w:ascii="Times New Roman" w:hAnsi="Times New Roman" w:eastAsia="宋体" w:cs="Times New Roman"/>
                <w:b w:val="0"/>
                <w:bCs w:val="0"/>
                <w:i w:val="0"/>
                <w:iCs w:val="0"/>
                <w:caps w:val="0"/>
                <w:color w:val="0F1115"/>
                <w:spacing w:val="0"/>
                <w:kern w:val="0"/>
                <w:sz w:val="21"/>
                <w:szCs w:val="21"/>
                <w:highlight w:val="none"/>
                <w:lang w:val="en-US" w:eastAsia="zh-CN" w:bidi="ar"/>
              </w:rPr>
              <w:t>接</w:t>
            </w:r>
            <w:r>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班人员在患者床边进行交接，内容清晰。</w:t>
            </w:r>
          </w:p>
          <w:p w14:paraId="381D7BFA">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auto"/>
              <w:rPr>
                <w:rFonts w:hint="default" w:ascii="Times New Roman" w:hAnsi="Times New Roman" w:eastAsia="宋体" w:cs="Times New Roman"/>
                <w:b w:val="0"/>
                <w:bCs w:val="0"/>
                <w:sz w:val="21"/>
                <w:szCs w:val="21"/>
                <w:highlight w:val="none"/>
                <w:vertAlign w:val="baseline"/>
              </w:rPr>
            </w:pPr>
            <w:r>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•特殊交接：对特殊患者或情况重点交接，并报告当班护士。</w:t>
            </w:r>
          </w:p>
        </w:tc>
      </w:tr>
      <w:tr w14:paraId="03C0A3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0" w:type="dxa"/>
            <w:vMerge w:val="continue"/>
            <w:vAlign w:val="center"/>
          </w:tcPr>
          <w:p w14:paraId="26E8F40D">
            <w:pPr>
              <w:keepNext w:val="0"/>
              <w:keepLines w:val="0"/>
              <w:pageBreakBefore w:val="0"/>
              <w:kinsoku/>
              <w:wordWrap/>
              <w:overflowPunct/>
              <w:topLinePunct w:val="0"/>
              <w:autoSpaceDE/>
              <w:autoSpaceDN/>
              <w:bidi w:val="0"/>
              <w:adjustRightInd/>
              <w:snapToGrid/>
              <w:spacing w:line="440" w:lineRule="exact"/>
              <w:jc w:val="both"/>
              <w:textAlignment w:val="auto"/>
              <w:rPr>
                <w:rFonts w:hint="default" w:ascii="Times New Roman" w:hAnsi="Times New Roman" w:eastAsia="宋体" w:cs="Times New Roman"/>
                <w:b w:val="0"/>
                <w:bCs w:val="0"/>
                <w:sz w:val="21"/>
                <w:szCs w:val="21"/>
                <w:highlight w:val="none"/>
                <w:vertAlign w:val="baseline"/>
              </w:rPr>
            </w:pPr>
          </w:p>
        </w:tc>
        <w:tc>
          <w:tcPr>
            <w:tcW w:w="878" w:type="dxa"/>
            <w:vAlign w:val="center"/>
          </w:tcPr>
          <w:p w14:paraId="05F2508E">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auto"/>
              <w:rPr>
                <w:rFonts w:hint="default" w:ascii="Times New Roman" w:hAnsi="Times New Roman" w:eastAsia="宋体" w:cs="Times New Roman"/>
                <w:b w:val="0"/>
                <w:bCs w:val="0"/>
                <w:sz w:val="21"/>
                <w:szCs w:val="21"/>
                <w:highlight w:val="none"/>
                <w:vertAlign w:val="baseline"/>
              </w:rPr>
            </w:pPr>
            <w:r>
              <w:rPr>
                <w:rStyle w:val="49"/>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应急响应</w:t>
            </w:r>
          </w:p>
        </w:tc>
        <w:tc>
          <w:tcPr>
            <w:tcW w:w="2122" w:type="dxa"/>
            <w:vAlign w:val="center"/>
          </w:tcPr>
          <w:p w14:paraId="21ED8C44">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auto"/>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pPr>
            <w:r>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配合处理突发事件</w:t>
            </w:r>
          </w:p>
        </w:tc>
        <w:tc>
          <w:tcPr>
            <w:tcW w:w="5327" w:type="dxa"/>
            <w:vAlign w:val="center"/>
          </w:tcPr>
          <w:p w14:paraId="0F1714C3">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auto"/>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pPr>
            <w:r>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•立即行动：遇患者跌倒、坠床等事件，立即报告并协助初步处理。</w:t>
            </w:r>
          </w:p>
          <w:p w14:paraId="52EE8D75">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auto"/>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pPr>
            <w:r>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•熟悉流程：掌握应急预案，能有效配合护士进行应急处置</w:t>
            </w:r>
            <w:r>
              <w:rPr>
                <w:rFonts w:hint="eastAsia" w:ascii="Times New Roman" w:hAnsi="Times New Roman" w:eastAsia="宋体" w:cs="Times New Roman"/>
                <w:b w:val="0"/>
                <w:bCs w:val="0"/>
                <w:i w:val="0"/>
                <w:iCs w:val="0"/>
                <w:caps w:val="0"/>
                <w:color w:val="0F1115"/>
                <w:spacing w:val="0"/>
                <w:kern w:val="0"/>
                <w:sz w:val="21"/>
                <w:szCs w:val="21"/>
                <w:highlight w:val="none"/>
                <w:lang w:val="en-US" w:eastAsia="zh-CN" w:bidi="ar"/>
              </w:rPr>
              <w:t>。</w:t>
            </w:r>
          </w:p>
        </w:tc>
      </w:tr>
      <w:tr w14:paraId="0E4DB5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0" w:type="dxa"/>
            <w:vMerge w:val="continue"/>
            <w:vAlign w:val="center"/>
          </w:tcPr>
          <w:p w14:paraId="39850D98">
            <w:pPr>
              <w:keepNext w:val="0"/>
              <w:keepLines w:val="0"/>
              <w:pageBreakBefore w:val="0"/>
              <w:kinsoku/>
              <w:wordWrap/>
              <w:overflowPunct/>
              <w:topLinePunct w:val="0"/>
              <w:autoSpaceDE/>
              <w:autoSpaceDN/>
              <w:bidi w:val="0"/>
              <w:adjustRightInd/>
              <w:snapToGrid/>
              <w:spacing w:line="440" w:lineRule="exact"/>
              <w:jc w:val="both"/>
              <w:textAlignment w:val="auto"/>
              <w:rPr>
                <w:rFonts w:hint="default" w:ascii="Times New Roman" w:hAnsi="Times New Roman" w:eastAsia="宋体" w:cs="Times New Roman"/>
                <w:b w:val="0"/>
                <w:bCs w:val="0"/>
                <w:sz w:val="21"/>
                <w:szCs w:val="21"/>
                <w:highlight w:val="none"/>
                <w:vertAlign w:val="baseline"/>
              </w:rPr>
            </w:pPr>
          </w:p>
        </w:tc>
        <w:tc>
          <w:tcPr>
            <w:tcW w:w="878" w:type="dxa"/>
            <w:vAlign w:val="center"/>
          </w:tcPr>
          <w:p w14:paraId="5C0AFB54">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auto"/>
              <w:rPr>
                <w:rFonts w:hint="default" w:ascii="Times New Roman" w:hAnsi="Times New Roman" w:eastAsia="宋体" w:cs="Times New Roman"/>
                <w:b w:val="0"/>
                <w:bCs w:val="0"/>
                <w:sz w:val="21"/>
                <w:szCs w:val="21"/>
                <w:highlight w:val="none"/>
                <w:vertAlign w:val="baseline"/>
              </w:rPr>
            </w:pPr>
            <w:r>
              <w:rPr>
                <w:rStyle w:val="49"/>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增值服务</w:t>
            </w:r>
          </w:p>
        </w:tc>
        <w:tc>
          <w:tcPr>
            <w:tcW w:w="2122" w:type="dxa"/>
            <w:vAlign w:val="center"/>
          </w:tcPr>
          <w:p w14:paraId="76FED19F">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auto"/>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pPr>
            <w:r>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为家属提供远程反馈</w:t>
            </w:r>
          </w:p>
        </w:tc>
        <w:tc>
          <w:tcPr>
            <w:tcW w:w="5327" w:type="dxa"/>
            <w:vAlign w:val="center"/>
          </w:tcPr>
          <w:p w14:paraId="6442D6F6">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auto"/>
              <w:rPr>
                <w:rFonts w:hint="default" w:ascii="Times New Roman" w:hAnsi="Times New Roman" w:eastAsia="宋体" w:cs="Times New Roman"/>
                <w:b w:val="0"/>
                <w:bCs w:val="0"/>
                <w:sz w:val="21"/>
                <w:szCs w:val="21"/>
                <w:highlight w:val="none"/>
                <w:vertAlign w:val="baseline"/>
              </w:rPr>
            </w:pPr>
            <w:r>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w:t>
            </w:r>
            <w:r>
              <w:rPr>
                <w:rFonts w:hint="eastAsia" w:ascii="Times New Roman" w:hAnsi="Times New Roman" w:eastAsia="宋体" w:cs="Times New Roman"/>
                <w:b w:val="0"/>
                <w:bCs w:val="0"/>
                <w:i w:val="0"/>
                <w:iCs w:val="0"/>
                <w:caps w:val="0"/>
                <w:color w:val="0F1115"/>
                <w:spacing w:val="0"/>
                <w:kern w:val="0"/>
                <w:sz w:val="21"/>
                <w:szCs w:val="21"/>
                <w:highlight w:val="none"/>
                <w:lang w:val="en-US" w:eastAsia="zh-CN" w:bidi="ar"/>
              </w:rPr>
              <w:t>定期反馈：对</w:t>
            </w:r>
            <w:r>
              <w:rPr>
                <w:rFonts w:hint="default" w:ascii="Times New Roman" w:hAnsi="Times New Roman" w:eastAsia="宋体" w:cs="Times New Roman"/>
                <w:b w:val="0"/>
                <w:bCs w:val="0"/>
                <w:i w:val="0"/>
                <w:iCs w:val="0"/>
                <w:caps w:val="0"/>
                <w:color w:val="0F1115"/>
                <w:spacing w:val="0"/>
                <w:kern w:val="0"/>
                <w:sz w:val="21"/>
                <w:szCs w:val="21"/>
                <w:highlight w:val="none"/>
                <w:lang w:val="en-US" w:eastAsia="zh-CN" w:bidi="ar"/>
              </w:rPr>
              <w:t>住院≥1周的患者，每周至少1次向家属同步患者照护情况，以提升家属满意度。</w:t>
            </w:r>
          </w:p>
        </w:tc>
      </w:tr>
    </w:tbl>
    <w:p w14:paraId="2B6ACE33">
      <w:pPr>
        <w:keepNext w:val="0"/>
        <w:keepLines w:val="0"/>
        <w:pageBreakBefore w:val="0"/>
        <w:widowControl w:val="0"/>
        <w:kinsoku/>
        <w:wordWrap/>
        <w:overflowPunct/>
        <w:topLinePunct w:val="0"/>
        <w:autoSpaceDE/>
        <w:autoSpaceDN/>
        <w:bidi w:val="0"/>
        <w:adjustRightInd/>
        <w:snapToGrid/>
        <w:spacing w:before="157" w:beforeLines="50" w:line="440" w:lineRule="exact"/>
        <w:jc w:val="left"/>
        <w:textAlignment w:val="auto"/>
        <w:rPr>
          <w:rFonts w:hint="eastAsia" w:ascii="宋体" w:hAnsi="宋体" w:eastAsia="宋体" w:cs="宋体"/>
          <w:b/>
          <w:bCs/>
          <w:sz w:val="24"/>
          <w:szCs w:val="24"/>
        </w:rPr>
      </w:pPr>
      <w:r>
        <w:rPr>
          <w:rFonts w:hint="eastAsia" w:ascii="宋体" w:hAnsi="宋体" w:eastAsia="宋体" w:cs="宋体"/>
          <w:b/>
          <w:bCs/>
          <w:sz w:val="24"/>
          <w:szCs w:val="24"/>
          <w:highlight w:val="none"/>
        </w:rPr>
        <w:t>（三）禁止性规定</w:t>
      </w:r>
    </w:p>
    <w:p w14:paraId="203224A4">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rPr>
        <w:t>护理员不得从事以下工作：</w:t>
      </w:r>
    </w:p>
    <w:p w14:paraId="58AB6CFB">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rPr>
        <w:t>1.连接输液管或者拔出输液管路、调节输液速度、更换引流管等；</w:t>
      </w:r>
    </w:p>
    <w:p w14:paraId="4F0E86B7">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rPr>
        <w:t>2.操作监护仪等急救、诊疗设施设备；</w:t>
      </w:r>
    </w:p>
    <w:p w14:paraId="7195D878">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rPr>
        <w:t>3.调节氧气开关，更换或者加减湿化瓶用水，为患者做吸痰、雾化吸入等；</w:t>
      </w:r>
    </w:p>
    <w:p w14:paraId="71C013AE">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rPr>
        <w:t>4.</w:t>
      </w:r>
      <w:r>
        <w:rPr>
          <w:rFonts w:hint="eastAsia" w:ascii="宋体" w:hAnsi="宋体" w:eastAsia="宋体" w:cs="宋体"/>
          <w:sz w:val="21"/>
          <w:szCs w:val="21"/>
          <w:lang w:eastAsia="zh-CN"/>
        </w:rPr>
        <w:t>患者需要约束时，不擅自给患者松开约束。</w:t>
      </w:r>
    </w:p>
    <w:p w14:paraId="5366296C">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rPr>
        <w:t>5.未经医疗卫生人员指导，做热敷、冷敷；</w:t>
      </w:r>
    </w:p>
    <w:p w14:paraId="30A8F706">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rPr>
        <w:t>6.未经医疗卫生人员同意，为危重、术后或者病情不稳定患者更换床单、改变体位或者下床活动等；</w:t>
      </w:r>
    </w:p>
    <w:p w14:paraId="07D626F3">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rPr>
        <w:t>7.未经医疗卫生人员同意，为患者喂食、喂水；</w:t>
      </w:r>
    </w:p>
    <w:p w14:paraId="537B8E10">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rPr>
        <w:t>8.擅自翻阅病历或者其他医疗文书；</w:t>
      </w:r>
    </w:p>
    <w:p w14:paraId="71409CDF">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rPr>
        <w:t>9.为患者解释病情；</w:t>
      </w:r>
    </w:p>
    <w:p w14:paraId="21D8D19F">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rPr>
        <w:t>10.在医疗机构内从事推销商品等活动；</w:t>
      </w:r>
    </w:p>
    <w:p w14:paraId="4FEA673E">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lang w:val="en-US" w:eastAsia="zh-CN"/>
        </w:rPr>
      </w:pPr>
      <w:r>
        <w:rPr>
          <w:rFonts w:hint="eastAsia" w:ascii="宋体" w:hAnsi="宋体" w:eastAsia="宋体" w:cs="宋体"/>
          <w:sz w:val="21"/>
          <w:szCs w:val="21"/>
        </w:rPr>
        <w:t>11.开展其他医疗卫生技术活动</w:t>
      </w:r>
      <w:r>
        <w:rPr>
          <w:rFonts w:hint="eastAsia" w:ascii="宋体" w:hAnsi="宋体" w:eastAsia="宋体" w:cs="宋体"/>
          <w:sz w:val="21"/>
          <w:szCs w:val="21"/>
          <w:lang w:eastAsia="zh-CN"/>
        </w:rPr>
        <w:t>。</w:t>
      </w:r>
    </w:p>
    <w:p w14:paraId="40BD4629">
      <w:pPr>
        <w:rPr>
          <w:rFonts w:hint="eastAsia"/>
          <w:lang w:val="en-US" w:eastAsia="zh-CN"/>
        </w:rPr>
      </w:pPr>
    </w:p>
    <w:p w14:paraId="32254336">
      <w:pPr>
        <w:numPr>
          <w:ilvl w:val="0"/>
          <w:numId w:val="9"/>
        </w:numPr>
        <w:ind w:left="0" w:leftChars="0" w:firstLine="0" w:firstLineChars="0"/>
        <w:rPr>
          <w:rFonts w:hint="eastAsia"/>
          <w:b/>
          <w:bCs/>
          <w:sz w:val="28"/>
          <w:szCs w:val="28"/>
          <w:lang w:val="en-US" w:eastAsia="zh-CN"/>
        </w:rPr>
      </w:pPr>
      <w:r>
        <w:rPr>
          <w:rFonts w:hint="eastAsia"/>
          <w:b/>
          <w:bCs/>
          <w:sz w:val="28"/>
          <w:szCs w:val="28"/>
          <w:lang w:val="en-US" w:eastAsia="zh-CN"/>
        </w:rPr>
        <w:t>技术要求：</w:t>
      </w:r>
    </w:p>
    <w:p w14:paraId="397153DA">
      <w:pPr>
        <w:spacing w:line="440" w:lineRule="exact"/>
        <w:rPr>
          <w:rFonts w:hint="eastAsia"/>
        </w:rPr>
      </w:pPr>
      <w:r>
        <w:rPr>
          <w:rFonts w:hint="eastAsia" w:ascii="宋体" w:hAnsi="宋体" w:eastAsia="宋体" w:cs="宋体"/>
          <w:b/>
          <w:bCs/>
          <w:sz w:val="24"/>
          <w:szCs w:val="24"/>
        </w:rPr>
        <w:t>（</w:t>
      </w:r>
      <w:r>
        <w:rPr>
          <w:rFonts w:hint="eastAsia" w:ascii="宋体" w:hAnsi="宋体" w:eastAsia="宋体" w:cs="宋体"/>
          <w:b/>
          <w:bCs/>
          <w:sz w:val="24"/>
          <w:szCs w:val="24"/>
          <w:lang w:val="en-US" w:eastAsia="zh-CN"/>
        </w:rPr>
        <w:t>一</w:t>
      </w:r>
      <w:r>
        <w:rPr>
          <w:rFonts w:hint="eastAsia" w:ascii="宋体" w:hAnsi="宋体" w:eastAsia="宋体" w:cs="宋体"/>
          <w:b/>
          <w:bCs/>
          <w:sz w:val="24"/>
          <w:szCs w:val="24"/>
        </w:rPr>
        <w:t>）人员配置要求</w:t>
      </w:r>
    </w:p>
    <w:p w14:paraId="0AC04A9E">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rPr>
        <w:t>1.通用要求：</w:t>
      </w:r>
    </w:p>
    <w:p w14:paraId="1F276E6E">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rPr>
        <w:t>（1）公司护理员基本要求：陪护公司护理数量不少于</w:t>
      </w:r>
      <w:r>
        <w:rPr>
          <w:rFonts w:hint="eastAsia" w:ascii="宋体" w:hAnsi="宋体" w:eastAsia="宋体" w:cs="宋体"/>
          <w:sz w:val="21"/>
          <w:szCs w:val="21"/>
          <w:lang w:val="en-US" w:eastAsia="zh-CN"/>
        </w:rPr>
        <w:t>300</w:t>
      </w:r>
      <w:r>
        <w:rPr>
          <w:rFonts w:hint="eastAsia" w:ascii="宋体" w:hAnsi="宋体" w:eastAsia="宋体" w:cs="宋体"/>
          <w:sz w:val="21"/>
          <w:szCs w:val="21"/>
        </w:rPr>
        <w:t>人，年龄18-5</w:t>
      </w:r>
      <w:r>
        <w:rPr>
          <w:rFonts w:hint="eastAsia" w:ascii="宋体" w:hAnsi="宋体" w:eastAsia="宋体" w:cs="宋体"/>
          <w:sz w:val="21"/>
          <w:szCs w:val="21"/>
          <w:lang w:val="en-US" w:eastAsia="zh-CN"/>
        </w:rPr>
        <w:t>8</w:t>
      </w:r>
      <w:r>
        <w:rPr>
          <w:rFonts w:hint="eastAsia" w:ascii="宋体" w:hAnsi="宋体" w:eastAsia="宋体" w:cs="宋体"/>
          <w:sz w:val="21"/>
          <w:szCs w:val="21"/>
        </w:rPr>
        <w:t>岁，取得医疗护理员证书占比不少于</w:t>
      </w:r>
      <w:r>
        <w:rPr>
          <w:rFonts w:hint="eastAsia" w:ascii="宋体" w:hAnsi="宋体" w:eastAsia="宋体" w:cs="宋体"/>
          <w:sz w:val="21"/>
          <w:szCs w:val="21"/>
          <w:lang w:val="en-US" w:eastAsia="zh-CN"/>
        </w:rPr>
        <w:t>2</w:t>
      </w:r>
      <w:r>
        <w:rPr>
          <w:rFonts w:hint="eastAsia" w:ascii="宋体" w:hAnsi="宋体" w:eastAsia="宋体" w:cs="宋体"/>
          <w:sz w:val="21"/>
          <w:szCs w:val="21"/>
        </w:rPr>
        <w:t>0%。</w:t>
      </w:r>
    </w:p>
    <w:p w14:paraId="15B8B5C2">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rPr>
        <w:t>（2）健康要求：上岗前需在三级以上医院进行健康检查并取得合格证，上岗后每年体检1次；患有精神障碍、传染性疾病（处于传染期）、药物过敏、化脓性或者渗出性皮肤病等疾病者不得任职，无不良嗜好。</w:t>
      </w:r>
    </w:p>
    <w:p w14:paraId="4CF255A8">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rPr>
        <w:t>（3）背景要求：经公安机关信息审查，无涉黑、涉恶、违法犯罪记录，提供无犯罪记录证明。</w:t>
      </w:r>
    </w:p>
    <w:p w14:paraId="5AD3D960">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rPr>
        <w:t>（4）保险购买：中标方需为所有在岗人员购买有效期内的团体人身险（含个人意外险或雇主责任险）。</w:t>
      </w:r>
    </w:p>
    <w:p w14:paraId="2523F784">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rPr>
        <w:t>（5）档案管理：具有培训合格证书的护理员应建立个人档案，档案应包括姓名、居民身份证复印件、联系电话、住址、从业经历等，未建档者不得从事陪护工作。</w:t>
      </w:r>
    </w:p>
    <w:p w14:paraId="708EDADF">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rPr>
        <w:t>2.岗位专项要求：</w:t>
      </w:r>
    </w:p>
    <w:p w14:paraId="3E2CEB72">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rPr>
        <w:t>（1）项目经理：护理专业，大专及以上学历；社保证明齐全，无岗位重复任职情况。</w:t>
      </w:r>
    </w:p>
    <w:p w14:paraId="2B88F5DB">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rPr>
        <w:t>（2）专职管理人员：按服务规模配备不少于2名具备医护背景（大专及以上学历）的驻点管理人员，负责日常管理、培训及协调工作。</w:t>
      </w:r>
    </w:p>
    <w:p w14:paraId="3D69CBED">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rPr>
        <w:t>（3）护理员：年龄18-5</w:t>
      </w:r>
      <w:r>
        <w:rPr>
          <w:rFonts w:hint="eastAsia" w:ascii="宋体" w:hAnsi="宋体" w:eastAsia="宋体" w:cs="宋体"/>
          <w:sz w:val="21"/>
          <w:szCs w:val="21"/>
          <w:lang w:val="en-US" w:eastAsia="zh-CN"/>
        </w:rPr>
        <w:t>8</w:t>
      </w:r>
      <w:r>
        <w:rPr>
          <w:rFonts w:hint="eastAsia" w:ascii="宋体" w:hAnsi="宋体" w:eastAsia="宋体" w:cs="宋体"/>
          <w:sz w:val="21"/>
          <w:szCs w:val="21"/>
        </w:rPr>
        <w:t>周岁；初中及以上文化程度；持有护理员培训合格证书或具备医院护理员岗位1年及以上工作经验；能识别常用汉字，会听、说普通话，沟通能力良好，团队协作意识强。</w:t>
      </w:r>
    </w:p>
    <w:p w14:paraId="413878FD">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rPr>
        <w:t>3.人员储备：投标人需储备不少于在岗人数30%的备用护理员，确保不缺岗。</w:t>
      </w:r>
    </w:p>
    <w:p w14:paraId="19C33957">
      <w:pPr>
        <w:pStyle w:val="2"/>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二</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同类业绩要求</w:t>
      </w:r>
    </w:p>
    <w:p w14:paraId="6BB37525">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1</w:t>
      </w:r>
      <w:r>
        <w:rPr>
          <w:rFonts w:hint="eastAsia" w:ascii="宋体" w:hAnsi="宋体" w:eastAsia="宋体" w:cs="宋体"/>
          <w:sz w:val="21"/>
          <w:szCs w:val="21"/>
        </w:rPr>
        <w:t>.具有</w:t>
      </w:r>
      <w:r>
        <w:rPr>
          <w:rFonts w:hint="eastAsia" w:ascii="宋体" w:hAnsi="宋体" w:eastAsia="宋体" w:cs="宋体"/>
          <w:sz w:val="21"/>
          <w:szCs w:val="21"/>
          <w:lang w:eastAsia="zh-CN"/>
        </w:rPr>
        <w:t>三甲医院</w:t>
      </w:r>
      <w:r>
        <w:rPr>
          <w:rFonts w:hint="eastAsia" w:ascii="宋体" w:hAnsi="宋体" w:eastAsia="宋体" w:cs="宋体"/>
          <w:sz w:val="21"/>
          <w:szCs w:val="21"/>
        </w:rPr>
        <w:t>护理员外包服务或无陪护照护服务经验，提供202</w:t>
      </w:r>
      <w:r>
        <w:rPr>
          <w:rFonts w:hint="eastAsia" w:ascii="宋体" w:hAnsi="宋体" w:eastAsia="宋体" w:cs="宋体"/>
          <w:sz w:val="21"/>
          <w:szCs w:val="21"/>
          <w:lang w:val="en-US" w:eastAsia="zh-CN"/>
        </w:rPr>
        <w:t>5</w:t>
      </w:r>
      <w:r>
        <w:rPr>
          <w:rFonts w:hint="eastAsia" w:ascii="宋体" w:hAnsi="宋体" w:eastAsia="宋体" w:cs="宋体"/>
          <w:sz w:val="21"/>
          <w:szCs w:val="21"/>
        </w:rPr>
        <w:t>年</w:t>
      </w:r>
      <w:r>
        <w:rPr>
          <w:rFonts w:hint="eastAsia" w:ascii="宋体" w:hAnsi="宋体" w:eastAsia="宋体" w:cs="宋体"/>
          <w:sz w:val="21"/>
          <w:szCs w:val="21"/>
          <w:lang w:val="en-US" w:eastAsia="zh-CN"/>
        </w:rPr>
        <w:t>3</w:t>
      </w:r>
      <w:r>
        <w:rPr>
          <w:rFonts w:hint="eastAsia" w:ascii="宋体" w:hAnsi="宋体" w:eastAsia="宋体" w:cs="宋体"/>
          <w:sz w:val="21"/>
          <w:szCs w:val="21"/>
        </w:rPr>
        <w:t>月1日以来的服务项目合同复印件（需加盖公章）及服务情况证明（如业主满意度评价等）。</w:t>
      </w:r>
    </w:p>
    <w:p w14:paraId="2286040A">
      <w:pPr>
        <w:pStyle w:val="2"/>
        <w:numPr>
          <w:ilvl w:val="-1"/>
          <w:numId w:val="0"/>
        </w:numP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（三）、制度及方案要求</w:t>
      </w:r>
    </w:p>
    <w:p w14:paraId="0CC3FB28">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1</w:t>
      </w:r>
      <w:r>
        <w:rPr>
          <w:rFonts w:hint="eastAsia" w:ascii="宋体" w:hAnsi="宋体" w:eastAsia="宋体" w:cs="宋体"/>
          <w:sz w:val="21"/>
          <w:szCs w:val="21"/>
        </w:rPr>
        <w:t>.具备护理员考核机制：提供制度文件，明确职业道德、业务水平、患者满意度评价等</w:t>
      </w:r>
      <w:r>
        <w:rPr>
          <w:rFonts w:hint="eastAsia" w:ascii="宋体" w:hAnsi="宋体" w:eastAsia="宋体" w:cs="宋体"/>
          <w:sz w:val="21"/>
          <w:szCs w:val="21"/>
          <w:lang w:val="en-US" w:eastAsia="zh-CN"/>
        </w:rPr>
        <w:t>内容</w:t>
      </w:r>
      <w:r>
        <w:rPr>
          <w:rFonts w:hint="eastAsia" w:ascii="宋体" w:hAnsi="宋体" w:eastAsia="宋体" w:cs="宋体"/>
          <w:sz w:val="21"/>
          <w:szCs w:val="21"/>
        </w:rPr>
        <w:t>。</w:t>
      </w:r>
    </w:p>
    <w:p w14:paraId="59D015CF">
      <w:pPr>
        <w:spacing w:line="44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lang w:val="en-US" w:eastAsia="zh-CN"/>
        </w:rPr>
        <w:t>2</w:t>
      </w:r>
      <w:r>
        <w:rPr>
          <w:rFonts w:hint="eastAsia" w:ascii="宋体" w:hAnsi="宋体" w:eastAsia="宋体" w:cs="宋体"/>
          <w:sz w:val="21"/>
          <w:szCs w:val="21"/>
        </w:rPr>
        <w:t>.具备监督管理机制：</w:t>
      </w:r>
      <w:r>
        <w:rPr>
          <w:rFonts w:hint="eastAsia" w:ascii="宋体" w:hAnsi="宋体" w:eastAsia="宋体" w:cs="宋体"/>
          <w:sz w:val="21"/>
          <w:szCs w:val="21"/>
          <w:lang w:val="en-US" w:eastAsia="zh-CN"/>
        </w:rPr>
        <w:t>提供制度文件，</w:t>
      </w:r>
      <w:r>
        <w:rPr>
          <w:rFonts w:hint="eastAsia" w:ascii="宋体" w:hAnsi="宋体" w:eastAsia="宋体" w:cs="宋体"/>
          <w:sz w:val="21"/>
          <w:szCs w:val="21"/>
        </w:rPr>
        <w:t>对医院考评不合格的护理员，应有解除合作关系，不再录用的管理制度。</w:t>
      </w:r>
    </w:p>
    <w:p w14:paraId="6E6DB260">
      <w:pPr>
        <w:pStyle w:val="2"/>
        <w:rPr>
          <w:rFonts w:hint="default" w:eastAsia="宋体"/>
          <w:sz w:val="21"/>
          <w:szCs w:val="21"/>
          <w:lang w:val="en-US" w:eastAsia="zh-CN"/>
        </w:rPr>
      </w:pPr>
      <w:r>
        <w:rPr>
          <w:rFonts w:hint="eastAsia" w:ascii="宋体" w:hAnsi="宋体" w:eastAsia="宋体" w:cs="宋体"/>
          <w:sz w:val="21"/>
          <w:szCs w:val="21"/>
          <w:lang w:val="en-US" w:eastAsia="zh-CN"/>
        </w:rPr>
        <w:t xml:space="preserve">   </w:t>
      </w:r>
      <w:r>
        <w:rPr>
          <w:rFonts w:hint="eastAsia" w:ascii="宋体" w:hAnsi="宋体" w:eastAsia="宋体" w:cs="宋体"/>
          <w:b w:val="0"/>
          <w:bCs w:val="0"/>
          <w:caps w:val="0"/>
          <w:sz w:val="21"/>
          <w:szCs w:val="21"/>
          <w:lang w:val="en-US" w:eastAsia="zh-CN"/>
        </w:rPr>
        <w:t xml:space="preserve"> 3.提供实施方案、</w:t>
      </w:r>
      <w:r>
        <w:rPr>
          <w:rFonts w:hint="eastAsia" w:ascii="宋体" w:hAnsi="宋体" w:eastAsia="宋体" w:cs="宋体"/>
          <w:b w:val="0"/>
          <w:bCs w:val="0"/>
          <w:caps w:val="0"/>
          <w:sz w:val="21"/>
          <w:szCs w:val="21"/>
        </w:rPr>
        <w:t>质量保障措施及应急方案</w:t>
      </w:r>
      <w:r>
        <w:rPr>
          <w:rFonts w:hint="eastAsia" w:ascii="宋体" w:hAnsi="宋体" w:eastAsia="宋体" w:cs="宋体"/>
          <w:b w:val="0"/>
          <w:bCs w:val="0"/>
          <w:caps w:val="0"/>
          <w:sz w:val="21"/>
          <w:szCs w:val="21"/>
          <w:lang w:val="en-US" w:eastAsia="zh-CN"/>
        </w:rPr>
        <w:t>及违约承诺。</w:t>
      </w:r>
    </w:p>
    <w:p w14:paraId="5978E422">
      <w:pPr>
        <w:keepNext w:val="0"/>
        <w:keepLines w:val="0"/>
        <w:pageBreakBefore w:val="0"/>
        <w:widowControl w:val="0"/>
        <w:kinsoku/>
        <w:wordWrap/>
        <w:overflowPunct/>
        <w:topLinePunct w:val="0"/>
        <w:autoSpaceDE/>
        <w:autoSpaceDN/>
        <w:bidi w:val="0"/>
        <w:adjustRightInd/>
        <w:snapToGrid/>
        <w:spacing w:line="440" w:lineRule="exact"/>
        <w:jc w:val="left"/>
        <w:textAlignment w:val="auto"/>
        <w:rPr>
          <w:rFonts w:hint="eastAsia" w:ascii="宋体" w:hAnsi="宋体" w:eastAsia="宋体" w:cs="宋体"/>
          <w:b/>
          <w:bCs/>
          <w:sz w:val="28"/>
          <w:szCs w:val="28"/>
        </w:rPr>
      </w:pPr>
      <w:r>
        <w:rPr>
          <w:rFonts w:hint="eastAsia" w:ascii="宋体" w:hAnsi="宋体" w:eastAsia="宋体" w:cs="宋体"/>
          <w:b/>
          <w:bCs/>
          <w:sz w:val="28"/>
          <w:szCs w:val="28"/>
          <w:lang w:val="en-US" w:eastAsia="zh-CN"/>
        </w:rPr>
        <w:t>五</w:t>
      </w:r>
      <w:r>
        <w:rPr>
          <w:rFonts w:hint="eastAsia" w:ascii="宋体" w:hAnsi="宋体" w:eastAsia="宋体" w:cs="宋体"/>
          <w:b/>
          <w:bCs/>
          <w:sz w:val="28"/>
          <w:szCs w:val="28"/>
        </w:rPr>
        <w:t>、管理与培训要求</w:t>
      </w:r>
    </w:p>
    <w:p w14:paraId="1CFBAA1B">
      <w:pPr>
        <w:keepNext w:val="0"/>
        <w:keepLines w:val="0"/>
        <w:pageBreakBefore w:val="0"/>
        <w:widowControl w:val="0"/>
        <w:kinsoku/>
        <w:wordWrap/>
        <w:overflowPunct/>
        <w:topLinePunct w:val="0"/>
        <w:autoSpaceDE/>
        <w:autoSpaceDN/>
        <w:bidi w:val="0"/>
        <w:adjustRightInd/>
        <w:snapToGrid/>
        <w:spacing w:line="440" w:lineRule="exact"/>
        <w:jc w:val="left"/>
        <w:textAlignment w:val="auto"/>
        <w:rPr>
          <w:rFonts w:hint="eastAsia" w:ascii="宋体" w:hAnsi="宋体" w:eastAsia="宋体" w:cs="宋体"/>
          <w:sz w:val="24"/>
          <w:szCs w:val="24"/>
        </w:rPr>
      </w:pPr>
      <w:r>
        <w:rPr>
          <w:rFonts w:hint="eastAsia" w:ascii="宋体" w:hAnsi="宋体" w:eastAsia="宋体" w:cs="宋体"/>
          <w:b/>
          <w:bCs/>
          <w:sz w:val="24"/>
          <w:szCs w:val="24"/>
        </w:rPr>
        <w:t>（一）日常管理规范</w:t>
      </w:r>
    </w:p>
    <w:p w14:paraId="2AEC0F0E">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lang w:eastAsia="zh-CN"/>
        </w:rPr>
      </w:pPr>
      <w:r>
        <w:rPr>
          <w:rFonts w:hint="eastAsia" w:ascii="宋体" w:hAnsi="宋体" w:eastAsia="宋体" w:cs="宋体"/>
          <w:sz w:val="21"/>
          <w:szCs w:val="21"/>
        </w:rPr>
        <w:t>1.按照要求进行登记，并提交居民身份证或者其他有效身份证件复印件</w:t>
      </w:r>
      <w:r>
        <w:rPr>
          <w:rFonts w:hint="eastAsia" w:ascii="宋体" w:hAnsi="宋体" w:eastAsia="宋体" w:cs="宋体"/>
          <w:sz w:val="21"/>
          <w:szCs w:val="21"/>
          <w:lang w:eastAsia="zh-CN"/>
        </w:rPr>
        <w:t>。</w:t>
      </w:r>
    </w:p>
    <w:p w14:paraId="007FC274">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lang w:eastAsia="zh-CN"/>
        </w:rPr>
      </w:pPr>
      <w:r>
        <w:rPr>
          <w:rFonts w:hint="eastAsia" w:ascii="宋体" w:hAnsi="宋体" w:eastAsia="宋体" w:cs="宋体"/>
          <w:sz w:val="21"/>
          <w:szCs w:val="21"/>
        </w:rPr>
        <w:t>2.遵守医疗机构及病区有关管理制度</w:t>
      </w:r>
      <w:r>
        <w:rPr>
          <w:rFonts w:hint="eastAsia" w:ascii="宋体" w:hAnsi="宋体" w:eastAsia="宋体" w:cs="宋体"/>
          <w:sz w:val="21"/>
          <w:szCs w:val="21"/>
          <w:lang w:eastAsia="zh-CN"/>
        </w:rPr>
        <w:t>。</w:t>
      </w:r>
    </w:p>
    <w:p w14:paraId="036F9BA2">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lang w:eastAsia="zh-CN"/>
        </w:rPr>
      </w:pPr>
      <w:r>
        <w:rPr>
          <w:rFonts w:hint="eastAsia" w:ascii="宋体" w:hAnsi="宋体" w:eastAsia="宋体" w:cs="宋体"/>
          <w:sz w:val="21"/>
          <w:szCs w:val="21"/>
        </w:rPr>
        <w:t>3.实行“五统一”管理：统一调配、统一着装、统一标识（工牌）、统一服务流程、统一收费标准</w:t>
      </w:r>
      <w:r>
        <w:rPr>
          <w:rFonts w:hint="eastAsia" w:ascii="宋体" w:hAnsi="宋体" w:eastAsia="宋体" w:cs="宋体"/>
          <w:sz w:val="21"/>
          <w:szCs w:val="21"/>
          <w:lang w:eastAsia="zh-CN"/>
        </w:rPr>
        <w:t>。</w:t>
      </w:r>
    </w:p>
    <w:p w14:paraId="190D84CE">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rPr>
        <w:t>4.考勤纪律：不迟到早退，不擅自离开患者；外出需征得当班护士同意，向项目主管请假并登记；禁止私自带患者离开医院；不得睡在患者床或病房空床；在岗期间禁止玩手机、扎堆聊天、脱岗或干私活。</w:t>
      </w:r>
    </w:p>
    <w:p w14:paraId="11019D84">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rPr>
        <w:t>5.服务准则：服从陪护管理办公室护士长和科室护士长指导与管理，不挑选病人或科室；尊重患者隐私，对患者的个人资料及隐私予以保密不泄露患者信息；发现患者有异常情况，及时向值班医师或者护士报告，秉持“三轻四心”服务理念（说话轻、走路轻、做事轻，爱心、耐心、细心、责任心）。</w:t>
      </w:r>
    </w:p>
    <w:p w14:paraId="7D0CC57B">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rPr>
        <w:t>6.行为规范：不向患者或家属索取小费、食物或其他物品，不私自谈论价钱或提出额外要求；不私自向他人租借陪人床；不随意进入医护办公室、治疗室等区域，不翻阅病案及医疗护理文件；不与无关人员谈论患者病情及治疗情况。</w:t>
      </w:r>
    </w:p>
    <w:p w14:paraId="79AB5996">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rPr>
        <w:t>7.环境要求：不在病区使用病房功能槽插座及电厨具煮食；不在配餐室、开水房洗头、洗衣、晾晒衣物；不乱扔垃圾</w:t>
      </w:r>
      <w:r>
        <w:rPr>
          <w:rFonts w:hint="eastAsia" w:ascii="宋体" w:hAnsi="宋体" w:eastAsia="宋体" w:cs="宋体"/>
          <w:sz w:val="21"/>
          <w:szCs w:val="21"/>
          <w:lang w:eastAsia="zh-CN"/>
        </w:rPr>
        <w:t>、不</w:t>
      </w:r>
      <w:r>
        <w:rPr>
          <w:rFonts w:hint="eastAsia" w:ascii="宋体" w:hAnsi="宋体" w:eastAsia="宋体" w:cs="宋体"/>
          <w:sz w:val="21"/>
          <w:szCs w:val="21"/>
        </w:rPr>
        <w:t>随地吐痰，不抽烟、喝酒、打牌、聚赌或讲脏话；不私动物品及仪器，爱护公物。</w:t>
      </w:r>
    </w:p>
    <w:p w14:paraId="112815AD">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rPr>
        <w:t>8.院感要求：为多耐药或感染性疾病患者提供服务时，落实标准预防要求，正确使用防护用品，严格执行手卫生规范。</w:t>
      </w:r>
    </w:p>
    <w:p w14:paraId="600E0E17">
      <w:pPr>
        <w:keepNext w:val="0"/>
        <w:keepLines w:val="0"/>
        <w:pageBreakBefore w:val="0"/>
        <w:widowControl w:val="0"/>
        <w:kinsoku/>
        <w:wordWrap/>
        <w:overflowPunct/>
        <w:topLinePunct w:val="0"/>
        <w:autoSpaceDE/>
        <w:autoSpaceDN/>
        <w:bidi w:val="0"/>
        <w:adjustRightInd/>
        <w:snapToGrid/>
        <w:spacing w:line="440" w:lineRule="exact"/>
        <w:jc w:val="left"/>
        <w:textAlignment w:val="auto"/>
        <w:rPr>
          <w:rFonts w:hint="eastAsia" w:ascii="宋体" w:hAnsi="宋体" w:eastAsia="宋体" w:cs="宋体"/>
          <w:b/>
          <w:bCs/>
          <w:sz w:val="24"/>
          <w:szCs w:val="24"/>
        </w:rPr>
      </w:pPr>
      <w:r>
        <w:rPr>
          <w:rFonts w:hint="eastAsia" w:ascii="宋体" w:hAnsi="宋体" w:eastAsia="宋体" w:cs="宋体"/>
          <w:b/>
          <w:bCs/>
          <w:sz w:val="24"/>
          <w:szCs w:val="24"/>
        </w:rPr>
        <w:t>（二）培训要求</w:t>
      </w:r>
    </w:p>
    <w:p w14:paraId="13325ED4">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rPr>
        <w:t>1.公司需制定完善的培训计划，公司每季度至少开展理论及技能培训≥3场，培训参培率必须达到100%（所有在岗护理员、管理人员均需参加规定培训，无特殊豁免情形）。</w:t>
      </w:r>
    </w:p>
    <w:p w14:paraId="117BA4AF">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rPr>
        <w:t>2.固定科室的护理员需按时完成科室医疗护理员培训手册，并考核合格，考核不合格≥3项，可退回公司进行重新培训后再上岗。</w:t>
      </w:r>
    </w:p>
    <w:p w14:paraId="233716CA">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rPr>
        <w:t>3.培训内容包括职业道德、医院规章制度、消毒隔离知识、生活护理技能、康复协助技巧、沟通交流技巧、手卫生、消防知识、CPR、应急处置流程等。</w:t>
      </w:r>
    </w:p>
    <w:p w14:paraId="3780D143">
      <w:pPr>
        <w:keepNext w:val="0"/>
        <w:keepLines w:val="0"/>
        <w:pageBreakBefore w:val="0"/>
        <w:widowControl w:val="0"/>
        <w:kinsoku/>
        <w:wordWrap/>
        <w:overflowPunct/>
        <w:topLinePunct w:val="0"/>
        <w:autoSpaceDE/>
        <w:autoSpaceDN/>
        <w:bidi w:val="0"/>
        <w:adjustRightInd/>
        <w:snapToGrid/>
        <w:spacing w:line="440" w:lineRule="exact"/>
        <w:jc w:val="left"/>
        <w:textAlignment w:val="auto"/>
        <w:rPr>
          <w:rFonts w:hint="eastAsia" w:ascii="宋体" w:hAnsi="宋体" w:eastAsia="宋体" w:cs="宋体"/>
          <w:b/>
          <w:bCs/>
          <w:sz w:val="24"/>
          <w:szCs w:val="24"/>
        </w:rPr>
      </w:pPr>
      <w:r>
        <w:rPr>
          <w:rFonts w:hint="eastAsia" w:ascii="宋体" w:hAnsi="宋体" w:eastAsia="宋体" w:cs="宋体"/>
          <w:b/>
          <w:bCs/>
          <w:sz w:val="24"/>
          <w:szCs w:val="24"/>
          <w:lang w:eastAsia="zh-CN"/>
        </w:rPr>
        <w:t>（三）</w:t>
      </w:r>
      <w:r>
        <w:rPr>
          <w:rFonts w:hint="eastAsia" w:ascii="宋体" w:hAnsi="宋体" w:eastAsia="宋体" w:cs="宋体"/>
          <w:b/>
          <w:bCs/>
          <w:sz w:val="24"/>
          <w:szCs w:val="24"/>
        </w:rPr>
        <w:t>应急管理</w:t>
      </w:r>
    </w:p>
    <w:p w14:paraId="1BD2602A">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1.</w:t>
      </w:r>
      <w:r>
        <w:rPr>
          <w:rFonts w:hint="eastAsia" w:ascii="宋体" w:hAnsi="宋体" w:eastAsia="宋体" w:cs="宋体"/>
          <w:sz w:val="21"/>
          <w:szCs w:val="21"/>
        </w:rPr>
        <w:t>建立人员应急调配机制：护理员请假或突发缺人时，24小时内补齐岗位，缺岗时间超过5个工作日视为违约。</w:t>
      </w:r>
    </w:p>
    <w:p w14:paraId="59D8CD23">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4"/>
          <w:szCs w:val="24"/>
        </w:rPr>
      </w:pPr>
      <w:r>
        <w:rPr>
          <w:rFonts w:hint="eastAsia" w:ascii="宋体" w:hAnsi="宋体" w:eastAsia="宋体" w:cs="宋体"/>
          <w:sz w:val="21"/>
          <w:szCs w:val="21"/>
          <w:lang w:val="en-US" w:eastAsia="zh-CN"/>
        </w:rPr>
        <w:t>2.</w:t>
      </w:r>
      <w:r>
        <w:rPr>
          <w:rFonts w:hint="eastAsia" w:ascii="宋体" w:hAnsi="宋体" w:eastAsia="宋体" w:cs="宋体"/>
          <w:sz w:val="21"/>
          <w:szCs w:val="21"/>
        </w:rPr>
        <w:t>制定突发事件应急预案：涵盖患者跌倒、坠床、误吸、噎食等场景，每季度组织演练，确保护理员掌握基本应急处理流程并及时上报。</w:t>
      </w:r>
    </w:p>
    <w:p w14:paraId="492FDA73">
      <w:pPr>
        <w:keepNext w:val="0"/>
        <w:keepLines w:val="0"/>
        <w:pageBreakBefore w:val="0"/>
        <w:widowControl w:val="0"/>
        <w:kinsoku/>
        <w:wordWrap/>
        <w:overflowPunct/>
        <w:topLinePunct w:val="0"/>
        <w:autoSpaceDE/>
        <w:autoSpaceDN/>
        <w:bidi w:val="0"/>
        <w:adjustRightInd/>
        <w:snapToGrid/>
        <w:spacing w:line="440" w:lineRule="exact"/>
        <w:jc w:val="left"/>
        <w:textAlignment w:val="auto"/>
        <w:rPr>
          <w:rFonts w:hint="eastAsia" w:ascii="宋体" w:hAnsi="宋体" w:eastAsia="宋体" w:cs="宋体"/>
          <w:b/>
          <w:bCs/>
          <w:sz w:val="28"/>
          <w:szCs w:val="28"/>
        </w:rPr>
      </w:pPr>
      <w:r>
        <w:rPr>
          <w:rFonts w:hint="eastAsia" w:ascii="宋体" w:hAnsi="宋体" w:eastAsia="宋体" w:cs="宋体"/>
          <w:b/>
          <w:bCs/>
          <w:sz w:val="28"/>
          <w:szCs w:val="28"/>
          <w:lang w:val="en-US" w:eastAsia="zh-CN"/>
        </w:rPr>
        <w:t>六</w:t>
      </w:r>
      <w:r>
        <w:rPr>
          <w:rFonts w:hint="eastAsia" w:ascii="宋体" w:hAnsi="宋体" w:eastAsia="宋体" w:cs="宋体"/>
          <w:b/>
          <w:bCs/>
          <w:sz w:val="28"/>
          <w:szCs w:val="28"/>
        </w:rPr>
        <w:t>、考核与监督机制</w:t>
      </w:r>
    </w:p>
    <w:p w14:paraId="24F1D435">
      <w:pPr>
        <w:keepNext w:val="0"/>
        <w:keepLines w:val="0"/>
        <w:pageBreakBefore w:val="0"/>
        <w:widowControl w:val="0"/>
        <w:kinsoku/>
        <w:wordWrap/>
        <w:overflowPunct/>
        <w:topLinePunct w:val="0"/>
        <w:autoSpaceDE/>
        <w:autoSpaceDN/>
        <w:bidi w:val="0"/>
        <w:adjustRightInd/>
        <w:snapToGrid/>
        <w:spacing w:line="440" w:lineRule="exact"/>
        <w:jc w:val="left"/>
        <w:textAlignment w:val="auto"/>
        <w:rPr>
          <w:rFonts w:hint="eastAsia" w:ascii="宋体" w:hAnsi="宋体" w:eastAsia="宋体" w:cs="宋体"/>
          <w:b/>
          <w:bCs/>
          <w:sz w:val="24"/>
          <w:szCs w:val="24"/>
        </w:rPr>
      </w:pPr>
      <w:r>
        <w:rPr>
          <w:rFonts w:hint="eastAsia" w:ascii="宋体" w:hAnsi="宋体" w:eastAsia="宋体" w:cs="宋体"/>
          <w:b/>
          <w:bCs/>
          <w:sz w:val="24"/>
          <w:szCs w:val="24"/>
        </w:rPr>
        <w:t>（一）考核体系</w:t>
      </w:r>
    </w:p>
    <w:p w14:paraId="388992B7">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rPr>
        <w:t>1.月度考核公式：管理满意度×20%+患者满意度×40%+工作考核×40%。</w:t>
      </w:r>
    </w:p>
    <w:p w14:paraId="5E516C5F">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rPr>
        <w:t>2.考核内容及评分标准：</w:t>
      </w:r>
    </w:p>
    <w:p w14:paraId="52E3E063">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rPr>
        <w:t>（1）管理满意度（20分）</w:t>
      </w:r>
    </w:p>
    <w:p w14:paraId="467B9C2E">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4"/>
          <w:szCs w:val="24"/>
        </w:rPr>
      </w:pPr>
      <w:r>
        <w:rPr>
          <w:rFonts w:hint="eastAsia" w:ascii="宋体" w:hAnsi="宋体" w:eastAsia="宋体" w:cs="宋体"/>
          <w:sz w:val="21"/>
          <w:szCs w:val="21"/>
        </w:rPr>
        <w:t>由陪护管理办公室、科室护士长联合评分，对照以下标准逐项打分：</w:t>
      </w:r>
    </w:p>
    <w:tbl>
      <w:tblPr>
        <w:tblStyle w:val="46"/>
        <w:tblpPr w:leftFromText="180" w:rightFromText="180" w:vertAnchor="text" w:horzAnchor="page" w:tblpX="1575" w:tblpY="339"/>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64"/>
        <w:gridCol w:w="5750"/>
        <w:gridCol w:w="808"/>
      </w:tblGrid>
      <w:tr w14:paraId="0A4A25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64" w:type="dxa"/>
            <w:vAlign w:val="center"/>
          </w:tcPr>
          <w:p w14:paraId="3D9EC200">
            <w:pPr>
              <w:keepNext/>
              <w:keepLines/>
              <w:pageBreakBefore w:val="0"/>
              <w:widowControl w:val="0"/>
              <w:numPr>
                <w:ilvl w:val="0"/>
                <w:numId w:val="0"/>
              </w:numPr>
              <w:kinsoku/>
              <w:wordWrap/>
              <w:overflowPunct/>
              <w:topLinePunct w:val="0"/>
              <w:autoSpaceDE/>
              <w:autoSpaceDN/>
              <w:bidi w:val="0"/>
              <w:adjustRightInd/>
              <w:snapToGrid/>
              <w:spacing w:before="0" w:after="0" w:line="440" w:lineRule="exact"/>
              <w:jc w:val="center"/>
              <w:textAlignment w:val="auto"/>
              <w:outlineLvl w:val="9"/>
              <w:rPr>
                <w:rFonts w:hint="eastAsia" w:ascii="宋体" w:hAnsi="宋体" w:eastAsia="宋体" w:cs="宋体"/>
                <w:b/>
                <w:bCs w:val="0"/>
                <w:kern w:val="2"/>
                <w:sz w:val="21"/>
                <w:szCs w:val="21"/>
                <w:highlight w:val="none"/>
                <w:lang w:val="en-US" w:eastAsia="zh-CN" w:bidi="ar-SA"/>
              </w:rPr>
            </w:pPr>
            <w:r>
              <w:rPr>
                <w:rFonts w:hint="eastAsia" w:ascii="宋体" w:hAnsi="宋体" w:eastAsia="宋体" w:cs="宋体"/>
                <w:b/>
                <w:bCs w:val="0"/>
                <w:kern w:val="2"/>
                <w:sz w:val="21"/>
                <w:szCs w:val="21"/>
                <w:highlight w:val="none"/>
                <w:lang w:val="en-US" w:eastAsia="zh-CN" w:bidi="ar-SA"/>
              </w:rPr>
              <w:t>评分维度</w:t>
            </w:r>
          </w:p>
        </w:tc>
        <w:tc>
          <w:tcPr>
            <w:tcW w:w="5750" w:type="dxa"/>
            <w:vAlign w:val="center"/>
          </w:tcPr>
          <w:p w14:paraId="187049E4">
            <w:pPr>
              <w:keepNext/>
              <w:keepLines/>
              <w:pageBreakBefore w:val="0"/>
              <w:widowControl w:val="0"/>
              <w:numPr>
                <w:ilvl w:val="0"/>
                <w:numId w:val="0"/>
              </w:numPr>
              <w:kinsoku/>
              <w:wordWrap/>
              <w:overflowPunct/>
              <w:topLinePunct w:val="0"/>
              <w:autoSpaceDE/>
              <w:autoSpaceDN/>
              <w:bidi w:val="0"/>
              <w:adjustRightInd/>
              <w:snapToGrid/>
              <w:spacing w:before="0" w:after="0" w:line="440" w:lineRule="exact"/>
              <w:jc w:val="center"/>
              <w:textAlignment w:val="auto"/>
              <w:outlineLvl w:val="9"/>
              <w:rPr>
                <w:rFonts w:hint="eastAsia" w:ascii="宋体" w:hAnsi="宋体" w:eastAsia="宋体" w:cs="宋体"/>
                <w:b/>
                <w:bCs w:val="0"/>
                <w:kern w:val="2"/>
                <w:sz w:val="21"/>
                <w:szCs w:val="21"/>
                <w:highlight w:val="none"/>
                <w:lang w:val="en-US" w:eastAsia="zh-CN" w:bidi="ar-SA"/>
              </w:rPr>
            </w:pPr>
            <w:r>
              <w:rPr>
                <w:rFonts w:hint="eastAsia" w:ascii="宋体" w:hAnsi="宋体" w:eastAsia="宋体" w:cs="宋体"/>
                <w:b/>
                <w:bCs w:val="0"/>
                <w:kern w:val="2"/>
                <w:sz w:val="21"/>
                <w:szCs w:val="21"/>
                <w:highlight w:val="none"/>
                <w:lang w:val="en-US" w:eastAsia="zh-CN" w:bidi="ar-SA"/>
              </w:rPr>
              <w:t>评分标准</w:t>
            </w:r>
          </w:p>
        </w:tc>
        <w:tc>
          <w:tcPr>
            <w:tcW w:w="808" w:type="dxa"/>
            <w:vAlign w:val="center"/>
          </w:tcPr>
          <w:p w14:paraId="1823ED59">
            <w:pPr>
              <w:keepNext/>
              <w:keepLines/>
              <w:pageBreakBefore w:val="0"/>
              <w:widowControl w:val="0"/>
              <w:numPr>
                <w:ilvl w:val="0"/>
                <w:numId w:val="0"/>
              </w:numPr>
              <w:kinsoku/>
              <w:wordWrap/>
              <w:overflowPunct/>
              <w:topLinePunct w:val="0"/>
              <w:autoSpaceDE/>
              <w:autoSpaceDN/>
              <w:bidi w:val="0"/>
              <w:adjustRightInd/>
              <w:snapToGrid/>
              <w:spacing w:before="0" w:after="0" w:line="440" w:lineRule="exact"/>
              <w:jc w:val="center"/>
              <w:textAlignment w:val="auto"/>
              <w:outlineLvl w:val="9"/>
              <w:rPr>
                <w:rFonts w:hint="eastAsia" w:ascii="宋体" w:hAnsi="宋体" w:eastAsia="宋体" w:cs="宋体"/>
                <w:b/>
                <w:bCs w:val="0"/>
                <w:kern w:val="2"/>
                <w:sz w:val="21"/>
                <w:szCs w:val="21"/>
                <w:highlight w:val="none"/>
                <w:lang w:val="en-US" w:eastAsia="zh-CN" w:bidi="ar-SA"/>
              </w:rPr>
            </w:pPr>
            <w:r>
              <w:rPr>
                <w:rFonts w:hint="eastAsia" w:ascii="宋体" w:hAnsi="宋体" w:eastAsia="宋体" w:cs="宋体"/>
                <w:b/>
                <w:bCs w:val="0"/>
                <w:kern w:val="2"/>
                <w:sz w:val="21"/>
                <w:szCs w:val="21"/>
                <w:highlight w:val="none"/>
                <w:lang w:val="en-US" w:eastAsia="zh-CN" w:bidi="ar-SA"/>
              </w:rPr>
              <w:t>分值</w:t>
            </w:r>
          </w:p>
        </w:tc>
      </w:tr>
      <w:tr w14:paraId="4F49EB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64" w:type="dxa"/>
            <w:vAlign w:val="center"/>
          </w:tcPr>
          <w:p w14:paraId="531CD106">
            <w:pPr>
              <w:keepNext/>
              <w:keepLines/>
              <w:pageBreakBefore w:val="0"/>
              <w:widowControl w:val="0"/>
              <w:numPr>
                <w:ilvl w:val="0"/>
                <w:numId w:val="0"/>
              </w:numPr>
              <w:kinsoku/>
              <w:wordWrap/>
              <w:overflowPunct/>
              <w:topLinePunct w:val="0"/>
              <w:autoSpaceDE/>
              <w:autoSpaceDN/>
              <w:bidi w:val="0"/>
              <w:adjustRightInd/>
              <w:snapToGrid/>
              <w:spacing w:before="0" w:after="0" w:line="440" w:lineRule="exact"/>
              <w:jc w:val="left"/>
              <w:textAlignment w:val="auto"/>
              <w:outlineLvl w:val="9"/>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kern w:val="2"/>
                <w:sz w:val="21"/>
                <w:szCs w:val="21"/>
                <w:highlight w:val="none"/>
                <w:lang w:val="en-US" w:eastAsia="zh-CN" w:bidi="ar-SA"/>
              </w:rPr>
              <w:t>人员调配及时性</w:t>
            </w:r>
          </w:p>
        </w:tc>
        <w:tc>
          <w:tcPr>
            <w:tcW w:w="5750" w:type="dxa"/>
            <w:vAlign w:val="center"/>
          </w:tcPr>
          <w:p w14:paraId="233BACE2">
            <w:pPr>
              <w:keepNext/>
              <w:keepLines/>
              <w:pageBreakBefore w:val="0"/>
              <w:widowControl w:val="0"/>
              <w:numPr>
                <w:ilvl w:val="0"/>
                <w:numId w:val="0"/>
              </w:numPr>
              <w:kinsoku/>
              <w:wordWrap/>
              <w:overflowPunct/>
              <w:topLinePunct w:val="0"/>
              <w:autoSpaceDE/>
              <w:autoSpaceDN/>
              <w:bidi w:val="0"/>
              <w:adjustRightInd/>
              <w:snapToGrid/>
              <w:spacing w:before="0" w:after="0" w:line="440" w:lineRule="exact"/>
              <w:jc w:val="left"/>
              <w:textAlignment w:val="auto"/>
              <w:outlineLvl w:val="9"/>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kern w:val="2"/>
                <w:sz w:val="21"/>
                <w:szCs w:val="21"/>
                <w:highlight w:val="none"/>
                <w:lang w:val="en-US" w:eastAsia="zh-CN" w:bidi="ar-SA"/>
              </w:rPr>
              <w:t>缺岗后24小时内补齐，无投诉得5分；超时补齐但未影响服务得3分；影响服务得0分</w:t>
            </w:r>
          </w:p>
        </w:tc>
        <w:tc>
          <w:tcPr>
            <w:tcW w:w="808" w:type="dxa"/>
            <w:vAlign w:val="center"/>
          </w:tcPr>
          <w:p w14:paraId="4360A62F">
            <w:pPr>
              <w:keepNext/>
              <w:keepLines/>
              <w:pageBreakBefore w:val="0"/>
              <w:widowControl w:val="0"/>
              <w:numPr>
                <w:ilvl w:val="0"/>
                <w:numId w:val="0"/>
              </w:numPr>
              <w:kinsoku/>
              <w:wordWrap/>
              <w:overflowPunct/>
              <w:topLinePunct w:val="0"/>
              <w:autoSpaceDE/>
              <w:autoSpaceDN/>
              <w:bidi w:val="0"/>
              <w:adjustRightInd/>
              <w:snapToGrid/>
              <w:spacing w:before="0" w:after="0" w:line="440" w:lineRule="exact"/>
              <w:jc w:val="left"/>
              <w:textAlignment w:val="auto"/>
              <w:outlineLvl w:val="9"/>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kern w:val="2"/>
                <w:sz w:val="21"/>
                <w:szCs w:val="21"/>
                <w:highlight w:val="none"/>
                <w:lang w:val="en-US" w:eastAsia="zh-CN" w:bidi="ar-SA"/>
              </w:rPr>
              <w:t>5分</w:t>
            </w:r>
          </w:p>
        </w:tc>
      </w:tr>
      <w:tr w14:paraId="125ED3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64" w:type="dxa"/>
            <w:vAlign w:val="center"/>
          </w:tcPr>
          <w:p w14:paraId="0F29C7EF">
            <w:pPr>
              <w:keepNext/>
              <w:keepLines/>
              <w:pageBreakBefore w:val="0"/>
              <w:widowControl w:val="0"/>
              <w:numPr>
                <w:ilvl w:val="0"/>
                <w:numId w:val="0"/>
              </w:numPr>
              <w:kinsoku/>
              <w:wordWrap/>
              <w:overflowPunct/>
              <w:topLinePunct w:val="0"/>
              <w:autoSpaceDE/>
              <w:autoSpaceDN/>
              <w:bidi w:val="0"/>
              <w:adjustRightInd/>
              <w:snapToGrid/>
              <w:spacing w:before="0" w:after="0" w:line="440" w:lineRule="exact"/>
              <w:jc w:val="left"/>
              <w:textAlignment w:val="auto"/>
              <w:outlineLvl w:val="9"/>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kern w:val="2"/>
                <w:sz w:val="21"/>
                <w:szCs w:val="21"/>
                <w:highlight w:val="none"/>
                <w:lang w:val="en-US" w:eastAsia="zh-CN" w:bidi="ar-SA"/>
              </w:rPr>
              <w:t>培训落实情况</w:t>
            </w:r>
          </w:p>
        </w:tc>
        <w:tc>
          <w:tcPr>
            <w:tcW w:w="5750" w:type="dxa"/>
            <w:vAlign w:val="center"/>
          </w:tcPr>
          <w:p w14:paraId="2937EE0C">
            <w:pPr>
              <w:keepNext/>
              <w:keepLines/>
              <w:pageBreakBefore w:val="0"/>
              <w:widowControl w:val="0"/>
              <w:numPr>
                <w:ilvl w:val="0"/>
                <w:numId w:val="0"/>
              </w:numPr>
              <w:kinsoku/>
              <w:wordWrap/>
              <w:overflowPunct/>
              <w:topLinePunct w:val="0"/>
              <w:autoSpaceDE/>
              <w:autoSpaceDN/>
              <w:bidi w:val="0"/>
              <w:adjustRightInd/>
              <w:snapToGrid/>
              <w:spacing w:before="0" w:after="0" w:line="440" w:lineRule="exact"/>
              <w:jc w:val="left"/>
              <w:textAlignment w:val="auto"/>
              <w:outlineLvl w:val="9"/>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kern w:val="2"/>
                <w:sz w:val="21"/>
                <w:szCs w:val="21"/>
                <w:highlight w:val="none"/>
                <w:lang w:val="en-US" w:eastAsia="zh-CN" w:bidi="ar-SA"/>
              </w:rPr>
              <w:t>每月按计划完成培训、资料齐全得5分；未按计划但补训完成得3分；未培训得0分</w:t>
            </w:r>
          </w:p>
        </w:tc>
        <w:tc>
          <w:tcPr>
            <w:tcW w:w="808" w:type="dxa"/>
            <w:vAlign w:val="center"/>
          </w:tcPr>
          <w:p w14:paraId="1EC0EE9A">
            <w:pPr>
              <w:keepNext/>
              <w:keepLines/>
              <w:pageBreakBefore w:val="0"/>
              <w:widowControl w:val="0"/>
              <w:numPr>
                <w:ilvl w:val="0"/>
                <w:numId w:val="0"/>
              </w:numPr>
              <w:kinsoku/>
              <w:wordWrap/>
              <w:overflowPunct/>
              <w:topLinePunct w:val="0"/>
              <w:autoSpaceDE/>
              <w:autoSpaceDN/>
              <w:bidi w:val="0"/>
              <w:adjustRightInd/>
              <w:snapToGrid/>
              <w:spacing w:before="0" w:after="0" w:line="440" w:lineRule="exact"/>
              <w:jc w:val="left"/>
              <w:textAlignment w:val="auto"/>
              <w:outlineLvl w:val="9"/>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kern w:val="2"/>
                <w:sz w:val="21"/>
                <w:szCs w:val="21"/>
                <w:highlight w:val="none"/>
                <w:lang w:val="en-US" w:eastAsia="zh-CN" w:bidi="ar-SA"/>
              </w:rPr>
              <w:t>5分</w:t>
            </w:r>
          </w:p>
        </w:tc>
      </w:tr>
      <w:tr w14:paraId="420C5D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64" w:type="dxa"/>
            <w:vAlign w:val="center"/>
          </w:tcPr>
          <w:p w14:paraId="44E51C34">
            <w:pPr>
              <w:keepNext/>
              <w:keepLines/>
              <w:pageBreakBefore w:val="0"/>
              <w:widowControl w:val="0"/>
              <w:numPr>
                <w:ilvl w:val="0"/>
                <w:numId w:val="0"/>
              </w:numPr>
              <w:kinsoku/>
              <w:wordWrap/>
              <w:overflowPunct/>
              <w:topLinePunct w:val="0"/>
              <w:autoSpaceDE/>
              <w:autoSpaceDN/>
              <w:bidi w:val="0"/>
              <w:adjustRightInd/>
              <w:snapToGrid/>
              <w:spacing w:before="0" w:after="0" w:line="440" w:lineRule="exact"/>
              <w:jc w:val="left"/>
              <w:textAlignment w:val="auto"/>
              <w:outlineLvl w:val="9"/>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kern w:val="2"/>
                <w:sz w:val="21"/>
                <w:szCs w:val="21"/>
                <w:highlight w:val="none"/>
                <w:lang w:val="en-US" w:eastAsia="zh-CN" w:bidi="ar-SA"/>
              </w:rPr>
              <w:t>问题整改效率</w:t>
            </w:r>
          </w:p>
        </w:tc>
        <w:tc>
          <w:tcPr>
            <w:tcW w:w="5750" w:type="dxa"/>
            <w:vAlign w:val="center"/>
          </w:tcPr>
          <w:p w14:paraId="699C7294">
            <w:pPr>
              <w:keepNext/>
              <w:keepLines/>
              <w:pageBreakBefore w:val="0"/>
              <w:widowControl w:val="0"/>
              <w:numPr>
                <w:ilvl w:val="0"/>
                <w:numId w:val="0"/>
              </w:numPr>
              <w:kinsoku/>
              <w:wordWrap/>
              <w:overflowPunct/>
              <w:topLinePunct w:val="0"/>
              <w:autoSpaceDE/>
              <w:autoSpaceDN/>
              <w:bidi w:val="0"/>
              <w:adjustRightInd/>
              <w:snapToGrid/>
              <w:spacing w:before="0" w:after="0" w:line="440" w:lineRule="exact"/>
              <w:jc w:val="left"/>
              <w:textAlignment w:val="auto"/>
              <w:outlineLvl w:val="9"/>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kern w:val="2"/>
                <w:sz w:val="21"/>
                <w:szCs w:val="21"/>
                <w:highlight w:val="none"/>
                <w:lang w:val="en-US" w:eastAsia="zh-CN" w:bidi="ar-SA"/>
              </w:rPr>
              <w:t>反馈问题7日内整改到位得5分；超时整改但达标得3分；未整改得0分</w:t>
            </w:r>
          </w:p>
        </w:tc>
        <w:tc>
          <w:tcPr>
            <w:tcW w:w="808" w:type="dxa"/>
            <w:vAlign w:val="center"/>
          </w:tcPr>
          <w:p w14:paraId="00A801BB">
            <w:pPr>
              <w:keepNext/>
              <w:keepLines/>
              <w:pageBreakBefore w:val="0"/>
              <w:widowControl w:val="0"/>
              <w:numPr>
                <w:ilvl w:val="0"/>
                <w:numId w:val="0"/>
              </w:numPr>
              <w:kinsoku/>
              <w:wordWrap/>
              <w:overflowPunct/>
              <w:topLinePunct w:val="0"/>
              <w:autoSpaceDE/>
              <w:autoSpaceDN/>
              <w:bidi w:val="0"/>
              <w:adjustRightInd/>
              <w:snapToGrid/>
              <w:spacing w:before="0" w:after="0" w:line="440" w:lineRule="exact"/>
              <w:jc w:val="left"/>
              <w:textAlignment w:val="auto"/>
              <w:outlineLvl w:val="9"/>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kern w:val="2"/>
                <w:sz w:val="21"/>
                <w:szCs w:val="21"/>
                <w:highlight w:val="none"/>
                <w:lang w:val="en-US" w:eastAsia="zh-CN" w:bidi="ar-SA"/>
              </w:rPr>
              <w:t>5分</w:t>
            </w:r>
          </w:p>
        </w:tc>
      </w:tr>
      <w:tr w14:paraId="34B5BA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64" w:type="dxa"/>
            <w:vAlign w:val="center"/>
          </w:tcPr>
          <w:p w14:paraId="13F6340A">
            <w:pPr>
              <w:keepNext/>
              <w:keepLines/>
              <w:pageBreakBefore w:val="0"/>
              <w:widowControl w:val="0"/>
              <w:numPr>
                <w:ilvl w:val="0"/>
                <w:numId w:val="0"/>
              </w:numPr>
              <w:kinsoku/>
              <w:wordWrap/>
              <w:overflowPunct/>
              <w:topLinePunct w:val="0"/>
              <w:autoSpaceDE/>
              <w:autoSpaceDN/>
              <w:bidi w:val="0"/>
              <w:adjustRightInd/>
              <w:snapToGrid/>
              <w:spacing w:before="0" w:after="0" w:line="440" w:lineRule="exact"/>
              <w:jc w:val="left"/>
              <w:textAlignment w:val="auto"/>
              <w:outlineLvl w:val="9"/>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kern w:val="2"/>
                <w:sz w:val="21"/>
                <w:szCs w:val="21"/>
                <w:highlight w:val="none"/>
                <w:lang w:val="en-US" w:eastAsia="zh-CN" w:bidi="ar-SA"/>
              </w:rPr>
              <w:t>资料上报及时性</w:t>
            </w:r>
          </w:p>
        </w:tc>
        <w:tc>
          <w:tcPr>
            <w:tcW w:w="5750" w:type="dxa"/>
            <w:vAlign w:val="center"/>
          </w:tcPr>
          <w:p w14:paraId="2CBAE37D">
            <w:pPr>
              <w:keepNext/>
              <w:keepLines/>
              <w:pageBreakBefore w:val="0"/>
              <w:widowControl w:val="0"/>
              <w:numPr>
                <w:ilvl w:val="0"/>
                <w:numId w:val="0"/>
              </w:numPr>
              <w:kinsoku/>
              <w:wordWrap/>
              <w:overflowPunct/>
              <w:topLinePunct w:val="0"/>
              <w:autoSpaceDE/>
              <w:autoSpaceDN/>
              <w:bidi w:val="0"/>
              <w:adjustRightInd/>
              <w:snapToGrid/>
              <w:spacing w:before="0" w:after="0" w:line="440" w:lineRule="exact"/>
              <w:jc w:val="left"/>
              <w:textAlignment w:val="auto"/>
              <w:outlineLvl w:val="9"/>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kern w:val="2"/>
                <w:sz w:val="21"/>
                <w:szCs w:val="21"/>
                <w:highlight w:val="none"/>
                <w:lang w:val="en-US" w:eastAsia="zh-CN" w:bidi="ar-SA"/>
              </w:rPr>
              <w:t>每月10日前按时提交花名册、出勤等资料得5分；延迟3日内得3分；延迟超3日得0分</w:t>
            </w:r>
          </w:p>
        </w:tc>
        <w:tc>
          <w:tcPr>
            <w:tcW w:w="808" w:type="dxa"/>
            <w:vAlign w:val="center"/>
          </w:tcPr>
          <w:p w14:paraId="3A7401D0">
            <w:pPr>
              <w:keepNext/>
              <w:keepLines/>
              <w:pageBreakBefore w:val="0"/>
              <w:widowControl w:val="0"/>
              <w:numPr>
                <w:ilvl w:val="0"/>
                <w:numId w:val="0"/>
              </w:numPr>
              <w:kinsoku/>
              <w:wordWrap/>
              <w:overflowPunct/>
              <w:topLinePunct w:val="0"/>
              <w:autoSpaceDE/>
              <w:autoSpaceDN/>
              <w:bidi w:val="0"/>
              <w:adjustRightInd/>
              <w:snapToGrid/>
              <w:spacing w:before="0" w:after="0" w:line="440" w:lineRule="exact"/>
              <w:jc w:val="left"/>
              <w:textAlignment w:val="auto"/>
              <w:outlineLvl w:val="9"/>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kern w:val="2"/>
                <w:sz w:val="21"/>
                <w:szCs w:val="21"/>
                <w:highlight w:val="none"/>
                <w:lang w:val="en-US" w:eastAsia="zh-CN" w:bidi="ar-SA"/>
              </w:rPr>
              <w:t>5分</w:t>
            </w:r>
          </w:p>
        </w:tc>
      </w:tr>
      <w:tr w14:paraId="625ED6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gridSpan w:val="3"/>
            <w:vAlign w:val="center"/>
          </w:tcPr>
          <w:p w14:paraId="129919E3">
            <w:pPr>
              <w:keepNext/>
              <w:keepLines/>
              <w:pageBreakBefore w:val="0"/>
              <w:widowControl w:val="0"/>
              <w:numPr>
                <w:ilvl w:val="0"/>
                <w:numId w:val="0"/>
              </w:numPr>
              <w:kinsoku/>
              <w:wordWrap/>
              <w:overflowPunct/>
              <w:topLinePunct w:val="0"/>
              <w:autoSpaceDE/>
              <w:autoSpaceDN/>
              <w:bidi w:val="0"/>
              <w:adjustRightInd/>
              <w:snapToGrid/>
              <w:spacing w:before="0" w:after="0" w:line="440" w:lineRule="exact"/>
              <w:jc w:val="left"/>
              <w:textAlignment w:val="auto"/>
              <w:outlineLvl w:val="9"/>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kern w:val="2"/>
                <w:sz w:val="21"/>
                <w:szCs w:val="21"/>
                <w:highlight w:val="none"/>
                <w:lang w:val="en-US" w:eastAsia="zh-CN" w:bidi="ar-SA"/>
              </w:rPr>
              <w:t>注：先计算所有评分者的总分均值（总分÷评分人数）×20%计入总分</w:t>
            </w:r>
          </w:p>
        </w:tc>
      </w:tr>
    </w:tbl>
    <w:p w14:paraId="32140886">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kern w:val="2"/>
          <w:sz w:val="21"/>
          <w:szCs w:val="21"/>
          <w:lang w:val="en-US" w:eastAsia="zh-CN" w:bidi="ar-SA"/>
        </w:rPr>
        <w:t>（2）</w:t>
      </w:r>
      <w:r>
        <w:rPr>
          <w:rFonts w:hint="eastAsia" w:ascii="宋体" w:hAnsi="宋体" w:eastAsia="宋体" w:cs="宋体"/>
          <w:sz w:val="21"/>
          <w:szCs w:val="21"/>
        </w:rPr>
        <w:t>患者满意度（40分）</w:t>
      </w:r>
    </w:p>
    <w:p w14:paraId="45F42590">
      <w:pPr>
        <w:keepNext w:val="0"/>
        <w:keepLines w:val="0"/>
        <w:pageBreakBefore w:val="0"/>
        <w:widowControl w:val="0"/>
        <w:numPr>
          <w:ilvl w:val="0"/>
          <w:numId w:val="0"/>
        </w:numPr>
        <w:kinsoku/>
        <w:wordWrap/>
        <w:overflowPunct/>
        <w:topLinePunct w:val="0"/>
        <w:autoSpaceDE/>
        <w:autoSpaceDN/>
        <w:bidi w:val="0"/>
        <w:adjustRightInd/>
        <w:snapToGrid/>
        <w:spacing w:line="440" w:lineRule="exact"/>
        <w:jc w:val="left"/>
        <w:textAlignment w:val="auto"/>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kern w:val="2"/>
          <w:sz w:val="21"/>
          <w:szCs w:val="21"/>
          <w:highlight w:val="none"/>
          <w:lang w:val="en-US" w:eastAsia="zh-CN" w:bidi="ar-SA"/>
        </w:rPr>
        <w:t>通过二维码扫码调查，涵盖8项核心指标，每项5分，按患者评价折算得分：</w:t>
      </w:r>
    </w:p>
    <w:tbl>
      <w:tblPr>
        <w:tblStyle w:val="46"/>
        <w:tblpPr w:leftFromText="180" w:rightFromText="180" w:vertAnchor="text" w:horzAnchor="page" w:tblpX="1797" w:tblpY="454"/>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30"/>
        <w:gridCol w:w="1523"/>
        <w:gridCol w:w="5769"/>
      </w:tblGrid>
      <w:tr w14:paraId="1339C6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trPr>
        <w:tc>
          <w:tcPr>
            <w:tcW w:w="1230" w:type="dxa"/>
            <w:vAlign w:val="center"/>
          </w:tcPr>
          <w:p w14:paraId="5CFE4B6A">
            <w:pPr>
              <w:keepNext/>
              <w:keepLines/>
              <w:pageBreakBefore w:val="0"/>
              <w:widowControl w:val="0"/>
              <w:numPr>
                <w:ilvl w:val="0"/>
                <w:numId w:val="0"/>
              </w:numPr>
              <w:kinsoku/>
              <w:wordWrap/>
              <w:overflowPunct/>
              <w:topLinePunct w:val="0"/>
              <w:autoSpaceDE/>
              <w:autoSpaceDN/>
              <w:bidi w:val="0"/>
              <w:adjustRightInd/>
              <w:snapToGrid/>
              <w:spacing w:before="0" w:after="0" w:line="440" w:lineRule="exact"/>
              <w:jc w:val="both"/>
              <w:textAlignment w:val="auto"/>
              <w:outlineLvl w:val="9"/>
              <w:rPr>
                <w:rFonts w:hint="eastAsia" w:ascii="宋体" w:hAnsi="宋体" w:eastAsia="宋体" w:cs="宋体"/>
                <w:b/>
                <w:bCs w:val="0"/>
                <w:kern w:val="2"/>
                <w:sz w:val="21"/>
                <w:szCs w:val="21"/>
                <w:highlight w:val="none"/>
                <w:lang w:val="en-US" w:eastAsia="zh-CN" w:bidi="ar-SA"/>
              </w:rPr>
            </w:pPr>
            <w:r>
              <w:rPr>
                <w:rFonts w:hint="eastAsia" w:ascii="宋体" w:hAnsi="宋体" w:eastAsia="宋体" w:cs="宋体"/>
                <w:b/>
                <w:bCs w:val="0"/>
                <w:kern w:val="2"/>
                <w:sz w:val="21"/>
                <w:szCs w:val="21"/>
                <w:highlight w:val="none"/>
                <w:lang w:val="en-US" w:eastAsia="zh-CN" w:bidi="ar-SA"/>
              </w:rPr>
              <w:t>指标序号</w:t>
            </w:r>
          </w:p>
        </w:tc>
        <w:tc>
          <w:tcPr>
            <w:tcW w:w="1523" w:type="dxa"/>
            <w:vAlign w:val="center"/>
          </w:tcPr>
          <w:p w14:paraId="467DCA31">
            <w:pPr>
              <w:keepNext/>
              <w:keepLines/>
              <w:pageBreakBefore w:val="0"/>
              <w:widowControl w:val="0"/>
              <w:numPr>
                <w:ilvl w:val="0"/>
                <w:numId w:val="0"/>
              </w:numPr>
              <w:kinsoku/>
              <w:wordWrap/>
              <w:overflowPunct/>
              <w:topLinePunct w:val="0"/>
              <w:autoSpaceDE/>
              <w:autoSpaceDN/>
              <w:bidi w:val="0"/>
              <w:adjustRightInd/>
              <w:snapToGrid/>
              <w:spacing w:before="0" w:after="0" w:line="440" w:lineRule="exact"/>
              <w:jc w:val="center"/>
              <w:textAlignment w:val="auto"/>
              <w:outlineLvl w:val="9"/>
              <w:rPr>
                <w:rFonts w:hint="eastAsia" w:ascii="宋体" w:hAnsi="宋体" w:eastAsia="宋体" w:cs="宋体"/>
                <w:b/>
                <w:bCs w:val="0"/>
                <w:kern w:val="2"/>
                <w:sz w:val="21"/>
                <w:szCs w:val="21"/>
                <w:highlight w:val="none"/>
                <w:lang w:val="en-US" w:eastAsia="zh-CN" w:bidi="ar-SA"/>
              </w:rPr>
            </w:pPr>
            <w:r>
              <w:rPr>
                <w:rFonts w:hint="eastAsia" w:ascii="宋体" w:hAnsi="宋体" w:eastAsia="宋体" w:cs="宋体"/>
                <w:b/>
                <w:bCs w:val="0"/>
                <w:kern w:val="2"/>
                <w:sz w:val="21"/>
                <w:szCs w:val="21"/>
                <w:highlight w:val="none"/>
                <w:lang w:val="en-US" w:eastAsia="zh-CN" w:bidi="ar-SA"/>
              </w:rPr>
              <w:t>指标名称</w:t>
            </w:r>
          </w:p>
        </w:tc>
        <w:tc>
          <w:tcPr>
            <w:tcW w:w="5769" w:type="dxa"/>
            <w:vAlign w:val="center"/>
          </w:tcPr>
          <w:p w14:paraId="37D65B96">
            <w:pPr>
              <w:keepNext/>
              <w:keepLines/>
              <w:pageBreakBefore w:val="0"/>
              <w:widowControl w:val="0"/>
              <w:numPr>
                <w:ilvl w:val="0"/>
                <w:numId w:val="0"/>
              </w:numPr>
              <w:kinsoku/>
              <w:wordWrap/>
              <w:overflowPunct/>
              <w:topLinePunct w:val="0"/>
              <w:autoSpaceDE/>
              <w:autoSpaceDN/>
              <w:bidi w:val="0"/>
              <w:adjustRightInd/>
              <w:snapToGrid/>
              <w:spacing w:before="0" w:after="0" w:line="440" w:lineRule="exact"/>
              <w:ind w:firstLine="422" w:firstLineChars="200"/>
              <w:jc w:val="center"/>
              <w:textAlignment w:val="auto"/>
              <w:outlineLvl w:val="9"/>
              <w:rPr>
                <w:rFonts w:hint="eastAsia" w:ascii="宋体" w:hAnsi="宋体" w:eastAsia="宋体" w:cs="宋体"/>
                <w:b/>
                <w:bCs w:val="0"/>
                <w:kern w:val="2"/>
                <w:sz w:val="21"/>
                <w:szCs w:val="21"/>
                <w:highlight w:val="none"/>
                <w:lang w:val="en-US" w:eastAsia="zh-CN" w:bidi="ar-SA"/>
              </w:rPr>
            </w:pPr>
            <w:r>
              <w:rPr>
                <w:rFonts w:hint="eastAsia" w:ascii="宋体" w:hAnsi="宋体" w:eastAsia="宋体" w:cs="宋体"/>
                <w:b/>
                <w:bCs w:val="0"/>
                <w:kern w:val="2"/>
                <w:sz w:val="21"/>
                <w:szCs w:val="21"/>
                <w:highlight w:val="none"/>
                <w:lang w:val="en-US" w:eastAsia="zh-CN" w:bidi="ar-SA"/>
              </w:rPr>
              <w:t>评分标准（每项5分）</w:t>
            </w:r>
          </w:p>
        </w:tc>
      </w:tr>
      <w:tr w14:paraId="07FC14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30" w:type="dxa"/>
            <w:vAlign w:val="center"/>
          </w:tcPr>
          <w:p w14:paraId="506879C1">
            <w:pPr>
              <w:keepNext/>
              <w:keepLines/>
              <w:pageBreakBefore w:val="0"/>
              <w:widowControl w:val="0"/>
              <w:numPr>
                <w:ilvl w:val="0"/>
                <w:numId w:val="0"/>
              </w:numPr>
              <w:kinsoku/>
              <w:wordWrap/>
              <w:overflowPunct/>
              <w:topLinePunct w:val="0"/>
              <w:autoSpaceDE/>
              <w:autoSpaceDN/>
              <w:bidi w:val="0"/>
              <w:adjustRightInd/>
              <w:snapToGrid/>
              <w:spacing w:before="0" w:after="0" w:line="440" w:lineRule="exact"/>
              <w:ind w:firstLine="420" w:firstLineChars="200"/>
              <w:jc w:val="left"/>
              <w:textAlignment w:val="auto"/>
              <w:outlineLvl w:val="9"/>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kern w:val="2"/>
                <w:sz w:val="21"/>
                <w:szCs w:val="21"/>
                <w:highlight w:val="none"/>
                <w:lang w:val="en-US" w:eastAsia="zh-CN" w:bidi="ar-SA"/>
              </w:rPr>
              <w:t>1</w:t>
            </w:r>
          </w:p>
        </w:tc>
        <w:tc>
          <w:tcPr>
            <w:tcW w:w="1523" w:type="dxa"/>
            <w:vAlign w:val="center"/>
          </w:tcPr>
          <w:p w14:paraId="5655D70E">
            <w:pPr>
              <w:keepNext/>
              <w:keepLines/>
              <w:pageBreakBefore w:val="0"/>
              <w:widowControl w:val="0"/>
              <w:numPr>
                <w:ilvl w:val="0"/>
                <w:numId w:val="0"/>
              </w:numPr>
              <w:kinsoku/>
              <w:wordWrap/>
              <w:overflowPunct/>
              <w:topLinePunct w:val="0"/>
              <w:autoSpaceDE/>
              <w:autoSpaceDN/>
              <w:bidi w:val="0"/>
              <w:adjustRightInd/>
              <w:snapToGrid/>
              <w:spacing w:before="0" w:after="0" w:line="440" w:lineRule="exact"/>
              <w:jc w:val="left"/>
              <w:textAlignment w:val="auto"/>
              <w:outlineLvl w:val="9"/>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kern w:val="2"/>
                <w:sz w:val="21"/>
                <w:szCs w:val="21"/>
                <w:highlight w:val="none"/>
                <w:lang w:val="en-US" w:eastAsia="zh-CN" w:bidi="ar-SA"/>
              </w:rPr>
              <w:t>服务态度</w:t>
            </w:r>
          </w:p>
        </w:tc>
        <w:tc>
          <w:tcPr>
            <w:tcW w:w="5769" w:type="dxa"/>
            <w:vAlign w:val="center"/>
          </w:tcPr>
          <w:p w14:paraId="626B5A7A">
            <w:pPr>
              <w:keepNext/>
              <w:keepLines/>
              <w:pageBreakBefore w:val="0"/>
              <w:widowControl w:val="0"/>
              <w:numPr>
                <w:ilvl w:val="0"/>
                <w:numId w:val="0"/>
              </w:numPr>
              <w:kinsoku/>
              <w:wordWrap/>
              <w:overflowPunct/>
              <w:topLinePunct w:val="0"/>
              <w:autoSpaceDE/>
              <w:autoSpaceDN/>
              <w:bidi w:val="0"/>
              <w:adjustRightInd/>
              <w:snapToGrid/>
              <w:spacing w:before="0" w:after="0" w:line="440" w:lineRule="exact"/>
              <w:jc w:val="left"/>
              <w:textAlignment w:val="auto"/>
              <w:outlineLvl w:val="9"/>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kern w:val="2"/>
                <w:sz w:val="21"/>
                <w:szCs w:val="21"/>
                <w:highlight w:val="none"/>
                <w:lang w:val="en-US" w:eastAsia="zh-CN" w:bidi="ar-SA"/>
              </w:rPr>
              <w:t>很满意5分、满意4分、基本满意3分、较不满意1分、不满意0分</w:t>
            </w:r>
          </w:p>
        </w:tc>
      </w:tr>
      <w:tr w14:paraId="16B178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30" w:type="dxa"/>
            <w:vAlign w:val="center"/>
          </w:tcPr>
          <w:p w14:paraId="2AB1D284">
            <w:pPr>
              <w:keepNext/>
              <w:keepLines/>
              <w:pageBreakBefore w:val="0"/>
              <w:widowControl w:val="0"/>
              <w:numPr>
                <w:ilvl w:val="0"/>
                <w:numId w:val="0"/>
              </w:numPr>
              <w:kinsoku/>
              <w:wordWrap/>
              <w:overflowPunct/>
              <w:topLinePunct w:val="0"/>
              <w:autoSpaceDE/>
              <w:autoSpaceDN/>
              <w:bidi w:val="0"/>
              <w:adjustRightInd/>
              <w:snapToGrid/>
              <w:spacing w:before="0" w:after="0" w:line="440" w:lineRule="exact"/>
              <w:ind w:firstLine="420" w:firstLineChars="200"/>
              <w:jc w:val="left"/>
              <w:textAlignment w:val="auto"/>
              <w:outlineLvl w:val="9"/>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kern w:val="2"/>
                <w:sz w:val="21"/>
                <w:szCs w:val="21"/>
                <w:highlight w:val="none"/>
                <w:lang w:val="en-US" w:eastAsia="zh-CN" w:bidi="ar-SA"/>
              </w:rPr>
              <w:t>2</w:t>
            </w:r>
          </w:p>
        </w:tc>
        <w:tc>
          <w:tcPr>
            <w:tcW w:w="1523" w:type="dxa"/>
            <w:vAlign w:val="center"/>
          </w:tcPr>
          <w:p w14:paraId="024B4E2A">
            <w:pPr>
              <w:keepNext/>
              <w:keepLines/>
              <w:pageBreakBefore w:val="0"/>
              <w:widowControl w:val="0"/>
              <w:numPr>
                <w:ilvl w:val="0"/>
                <w:numId w:val="0"/>
              </w:numPr>
              <w:kinsoku/>
              <w:wordWrap/>
              <w:overflowPunct/>
              <w:topLinePunct w:val="0"/>
              <w:autoSpaceDE/>
              <w:autoSpaceDN/>
              <w:bidi w:val="0"/>
              <w:adjustRightInd/>
              <w:snapToGrid/>
              <w:spacing w:before="0" w:after="0" w:line="440" w:lineRule="exact"/>
              <w:jc w:val="left"/>
              <w:textAlignment w:val="auto"/>
              <w:outlineLvl w:val="9"/>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kern w:val="2"/>
                <w:sz w:val="21"/>
                <w:szCs w:val="21"/>
                <w:highlight w:val="none"/>
                <w:lang w:val="en-US" w:eastAsia="zh-CN" w:bidi="ar-SA"/>
              </w:rPr>
              <w:t>照护规范性</w:t>
            </w:r>
          </w:p>
        </w:tc>
        <w:tc>
          <w:tcPr>
            <w:tcW w:w="5769" w:type="dxa"/>
            <w:vAlign w:val="center"/>
          </w:tcPr>
          <w:p w14:paraId="5C07007F">
            <w:pPr>
              <w:keepNext/>
              <w:keepLines/>
              <w:pageBreakBefore w:val="0"/>
              <w:widowControl w:val="0"/>
              <w:numPr>
                <w:ilvl w:val="0"/>
                <w:numId w:val="0"/>
              </w:numPr>
              <w:kinsoku/>
              <w:wordWrap/>
              <w:overflowPunct/>
              <w:topLinePunct w:val="0"/>
              <w:autoSpaceDE/>
              <w:autoSpaceDN/>
              <w:bidi w:val="0"/>
              <w:adjustRightInd/>
              <w:snapToGrid/>
              <w:spacing w:before="0" w:after="0" w:line="440" w:lineRule="exact"/>
              <w:jc w:val="left"/>
              <w:textAlignment w:val="auto"/>
              <w:outlineLvl w:val="9"/>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kern w:val="2"/>
                <w:sz w:val="21"/>
                <w:szCs w:val="21"/>
                <w:highlight w:val="none"/>
                <w:lang w:val="en-US" w:eastAsia="zh-CN" w:bidi="ar-SA"/>
              </w:rPr>
              <w:t>很满意5分、满意4分、基本满意3分、较不满意1分、不满意0分</w:t>
            </w:r>
          </w:p>
        </w:tc>
      </w:tr>
      <w:tr w14:paraId="37A472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30" w:type="dxa"/>
            <w:vAlign w:val="center"/>
          </w:tcPr>
          <w:p w14:paraId="560AD9C4">
            <w:pPr>
              <w:keepNext/>
              <w:keepLines/>
              <w:pageBreakBefore w:val="0"/>
              <w:widowControl w:val="0"/>
              <w:numPr>
                <w:ilvl w:val="0"/>
                <w:numId w:val="0"/>
              </w:numPr>
              <w:kinsoku/>
              <w:wordWrap/>
              <w:overflowPunct/>
              <w:topLinePunct w:val="0"/>
              <w:autoSpaceDE/>
              <w:autoSpaceDN/>
              <w:bidi w:val="0"/>
              <w:adjustRightInd/>
              <w:snapToGrid/>
              <w:spacing w:before="0" w:after="0" w:line="440" w:lineRule="exact"/>
              <w:ind w:firstLine="420" w:firstLineChars="200"/>
              <w:jc w:val="left"/>
              <w:textAlignment w:val="auto"/>
              <w:outlineLvl w:val="9"/>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kern w:val="2"/>
                <w:sz w:val="21"/>
                <w:szCs w:val="21"/>
                <w:highlight w:val="none"/>
                <w:lang w:val="en-US" w:eastAsia="zh-CN" w:bidi="ar-SA"/>
              </w:rPr>
              <w:t>3</w:t>
            </w:r>
          </w:p>
        </w:tc>
        <w:tc>
          <w:tcPr>
            <w:tcW w:w="1523" w:type="dxa"/>
            <w:vAlign w:val="center"/>
          </w:tcPr>
          <w:p w14:paraId="30066EE5">
            <w:pPr>
              <w:keepNext/>
              <w:keepLines/>
              <w:pageBreakBefore w:val="0"/>
              <w:widowControl w:val="0"/>
              <w:numPr>
                <w:ilvl w:val="0"/>
                <w:numId w:val="0"/>
              </w:numPr>
              <w:kinsoku/>
              <w:wordWrap/>
              <w:overflowPunct/>
              <w:topLinePunct w:val="0"/>
              <w:autoSpaceDE/>
              <w:autoSpaceDN/>
              <w:bidi w:val="0"/>
              <w:adjustRightInd/>
              <w:snapToGrid/>
              <w:spacing w:before="0" w:after="0" w:line="440" w:lineRule="exact"/>
              <w:jc w:val="left"/>
              <w:textAlignment w:val="auto"/>
              <w:outlineLvl w:val="9"/>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kern w:val="2"/>
                <w:sz w:val="21"/>
                <w:szCs w:val="21"/>
                <w:highlight w:val="none"/>
                <w:lang w:val="en-US" w:eastAsia="zh-CN" w:bidi="ar-SA"/>
              </w:rPr>
              <w:t>安全保障</w:t>
            </w:r>
          </w:p>
        </w:tc>
        <w:tc>
          <w:tcPr>
            <w:tcW w:w="5769" w:type="dxa"/>
            <w:vAlign w:val="center"/>
          </w:tcPr>
          <w:p w14:paraId="03F3A97D">
            <w:pPr>
              <w:keepNext/>
              <w:keepLines/>
              <w:pageBreakBefore w:val="0"/>
              <w:widowControl w:val="0"/>
              <w:numPr>
                <w:ilvl w:val="0"/>
                <w:numId w:val="0"/>
              </w:numPr>
              <w:kinsoku/>
              <w:wordWrap/>
              <w:overflowPunct/>
              <w:topLinePunct w:val="0"/>
              <w:autoSpaceDE/>
              <w:autoSpaceDN/>
              <w:bidi w:val="0"/>
              <w:adjustRightInd/>
              <w:snapToGrid/>
              <w:spacing w:before="0" w:after="0" w:line="440" w:lineRule="exact"/>
              <w:jc w:val="left"/>
              <w:textAlignment w:val="auto"/>
              <w:outlineLvl w:val="9"/>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kern w:val="2"/>
                <w:sz w:val="21"/>
                <w:szCs w:val="21"/>
                <w:highlight w:val="none"/>
                <w:lang w:val="en-US" w:eastAsia="zh-CN" w:bidi="ar-SA"/>
              </w:rPr>
              <w:t>很满意5分、满意4分、基本满意3分、较不满意1分、不满意0分</w:t>
            </w:r>
          </w:p>
        </w:tc>
      </w:tr>
      <w:tr w14:paraId="698A8D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30" w:type="dxa"/>
            <w:vAlign w:val="center"/>
          </w:tcPr>
          <w:p w14:paraId="109F12AD">
            <w:pPr>
              <w:keepNext/>
              <w:keepLines/>
              <w:pageBreakBefore w:val="0"/>
              <w:widowControl w:val="0"/>
              <w:numPr>
                <w:ilvl w:val="0"/>
                <w:numId w:val="0"/>
              </w:numPr>
              <w:kinsoku/>
              <w:wordWrap/>
              <w:overflowPunct/>
              <w:topLinePunct w:val="0"/>
              <w:autoSpaceDE/>
              <w:autoSpaceDN/>
              <w:bidi w:val="0"/>
              <w:adjustRightInd/>
              <w:snapToGrid/>
              <w:spacing w:before="0" w:after="0" w:line="440" w:lineRule="exact"/>
              <w:ind w:firstLine="420" w:firstLineChars="200"/>
              <w:jc w:val="left"/>
              <w:textAlignment w:val="auto"/>
              <w:outlineLvl w:val="9"/>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kern w:val="2"/>
                <w:sz w:val="21"/>
                <w:szCs w:val="21"/>
                <w:highlight w:val="none"/>
                <w:lang w:val="en-US" w:eastAsia="zh-CN" w:bidi="ar-SA"/>
              </w:rPr>
              <w:t>4</w:t>
            </w:r>
          </w:p>
        </w:tc>
        <w:tc>
          <w:tcPr>
            <w:tcW w:w="1523" w:type="dxa"/>
            <w:vAlign w:val="center"/>
          </w:tcPr>
          <w:p w14:paraId="43AE5E56">
            <w:pPr>
              <w:keepNext/>
              <w:keepLines/>
              <w:pageBreakBefore w:val="0"/>
              <w:widowControl w:val="0"/>
              <w:numPr>
                <w:ilvl w:val="0"/>
                <w:numId w:val="0"/>
              </w:numPr>
              <w:kinsoku/>
              <w:wordWrap/>
              <w:overflowPunct/>
              <w:topLinePunct w:val="0"/>
              <w:autoSpaceDE/>
              <w:autoSpaceDN/>
              <w:bidi w:val="0"/>
              <w:adjustRightInd/>
              <w:snapToGrid/>
              <w:spacing w:before="0" w:after="0" w:line="440" w:lineRule="exact"/>
              <w:jc w:val="left"/>
              <w:textAlignment w:val="auto"/>
              <w:outlineLvl w:val="9"/>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kern w:val="2"/>
                <w:sz w:val="21"/>
                <w:szCs w:val="21"/>
                <w:highlight w:val="none"/>
                <w:lang w:val="en-US" w:eastAsia="zh-CN" w:bidi="ar-SA"/>
              </w:rPr>
              <w:t>响应效率</w:t>
            </w:r>
          </w:p>
        </w:tc>
        <w:tc>
          <w:tcPr>
            <w:tcW w:w="5769" w:type="dxa"/>
            <w:vAlign w:val="center"/>
          </w:tcPr>
          <w:p w14:paraId="5FE52E74">
            <w:pPr>
              <w:keepNext/>
              <w:keepLines/>
              <w:pageBreakBefore w:val="0"/>
              <w:widowControl w:val="0"/>
              <w:numPr>
                <w:ilvl w:val="0"/>
                <w:numId w:val="0"/>
              </w:numPr>
              <w:kinsoku/>
              <w:wordWrap/>
              <w:overflowPunct/>
              <w:topLinePunct w:val="0"/>
              <w:autoSpaceDE/>
              <w:autoSpaceDN/>
              <w:bidi w:val="0"/>
              <w:adjustRightInd/>
              <w:snapToGrid/>
              <w:spacing w:before="0" w:after="0" w:line="440" w:lineRule="exact"/>
              <w:jc w:val="left"/>
              <w:textAlignment w:val="auto"/>
              <w:outlineLvl w:val="9"/>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kern w:val="2"/>
                <w:sz w:val="21"/>
                <w:szCs w:val="21"/>
                <w:highlight w:val="none"/>
                <w:lang w:val="en-US" w:eastAsia="zh-CN" w:bidi="ar-SA"/>
              </w:rPr>
              <w:t>很满意5分、满意4分、基本满意3分、较不满意1分、不满意0分</w:t>
            </w:r>
          </w:p>
        </w:tc>
      </w:tr>
      <w:tr w14:paraId="4AE446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30" w:type="dxa"/>
            <w:vAlign w:val="center"/>
          </w:tcPr>
          <w:p w14:paraId="33A16A59">
            <w:pPr>
              <w:keepNext/>
              <w:keepLines/>
              <w:pageBreakBefore w:val="0"/>
              <w:widowControl w:val="0"/>
              <w:numPr>
                <w:ilvl w:val="0"/>
                <w:numId w:val="0"/>
              </w:numPr>
              <w:kinsoku/>
              <w:wordWrap/>
              <w:overflowPunct/>
              <w:topLinePunct w:val="0"/>
              <w:autoSpaceDE/>
              <w:autoSpaceDN/>
              <w:bidi w:val="0"/>
              <w:adjustRightInd/>
              <w:snapToGrid/>
              <w:spacing w:before="0" w:after="0" w:line="440" w:lineRule="exact"/>
              <w:ind w:firstLine="420" w:firstLineChars="200"/>
              <w:jc w:val="left"/>
              <w:textAlignment w:val="auto"/>
              <w:outlineLvl w:val="9"/>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kern w:val="2"/>
                <w:sz w:val="21"/>
                <w:szCs w:val="21"/>
                <w:highlight w:val="none"/>
                <w:lang w:val="en-US" w:eastAsia="zh-CN" w:bidi="ar-SA"/>
              </w:rPr>
              <w:t>5</w:t>
            </w:r>
          </w:p>
        </w:tc>
        <w:tc>
          <w:tcPr>
            <w:tcW w:w="1523" w:type="dxa"/>
            <w:vAlign w:val="center"/>
          </w:tcPr>
          <w:p w14:paraId="4647F669">
            <w:pPr>
              <w:keepNext/>
              <w:keepLines/>
              <w:pageBreakBefore w:val="0"/>
              <w:widowControl w:val="0"/>
              <w:numPr>
                <w:ilvl w:val="0"/>
                <w:numId w:val="0"/>
              </w:numPr>
              <w:kinsoku/>
              <w:wordWrap/>
              <w:overflowPunct/>
              <w:topLinePunct w:val="0"/>
              <w:autoSpaceDE/>
              <w:autoSpaceDN/>
              <w:bidi w:val="0"/>
              <w:adjustRightInd/>
              <w:snapToGrid/>
              <w:spacing w:before="0" w:after="0" w:line="440" w:lineRule="exact"/>
              <w:jc w:val="left"/>
              <w:textAlignment w:val="auto"/>
              <w:outlineLvl w:val="9"/>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kern w:val="2"/>
                <w:sz w:val="21"/>
                <w:szCs w:val="21"/>
                <w:highlight w:val="none"/>
                <w:lang w:val="en-US" w:eastAsia="zh-CN" w:bidi="ar-SA"/>
              </w:rPr>
              <w:t>隐私保护</w:t>
            </w:r>
          </w:p>
        </w:tc>
        <w:tc>
          <w:tcPr>
            <w:tcW w:w="5769" w:type="dxa"/>
            <w:vAlign w:val="center"/>
          </w:tcPr>
          <w:p w14:paraId="7135AF7F">
            <w:pPr>
              <w:keepNext/>
              <w:keepLines/>
              <w:pageBreakBefore w:val="0"/>
              <w:widowControl w:val="0"/>
              <w:numPr>
                <w:ilvl w:val="0"/>
                <w:numId w:val="0"/>
              </w:numPr>
              <w:kinsoku/>
              <w:wordWrap/>
              <w:overflowPunct/>
              <w:topLinePunct w:val="0"/>
              <w:autoSpaceDE/>
              <w:autoSpaceDN/>
              <w:bidi w:val="0"/>
              <w:adjustRightInd/>
              <w:snapToGrid/>
              <w:spacing w:before="0" w:after="0" w:line="440" w:lineRule="exact"/>
              <w:jc w:val="left"/>
              <w:textAlignment w:val="auto"/>
              <w:outlineLvl w:val="9"/>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kern w:val="2"/>
                <w:sz w:val="21"/>
                <w:szCs w:val="21"/>
                <w:highlight w:val="none"/>
                <w:lang w:val="en-US" w:eastAsia="zh-CN" w:bidi="ar-SA"/>
              </w:rPr>
              <w:t>很满意5分、满意4分、基本满意3分、较不满意1分、不满意0分</w:t>
            </w:r>
          </w:p>
        </w:tc>
      </w:tr>
      <w:tr w14:paraId="378DC0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30" w:type="dxa"/>
            <w:vAlign w:val="center"/>
          </w:tcPr>
          <w:p w14:paraId="450CC4BD">
            <w:pPr>
              <w:keepNext/>
              <w:keepLines/>
              <w:pageBreakBefore w:val="0"/>
              <w:widowControl w:val="0"/>
              <w:numPr>
                <w:ilvl w:val="0"/>
                <w:numId w:val="0"/>
              </w:numPr>
              <w:kinsoku/>
              <w:wordWrap/>
              <w:overflowPunct/>
              <w:topLinePunct w:val="0"/>
              <w:autoSpaceDE/>
              <w:autoSpaceDN/>
              <w:bidi w:val="0"/>
              <w:adjustRightInd/>
              <w:snapToGrid/>
              <w:spacing w:before="0" w:after="0" w:line="440" w:lineRule="exact"/>
              <w:ind w:firstLine="420" w:firstLineChars="200"/>
              <w:jc w:val="left"/>
              <w:textAlignment w:val="auto"/>
              <w:outlineLvl w:val="9"/>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kern w:val="2"/>
                <w:sz w:val="21"/>
                <w:szCs w:val="21"/>
                <w:highlight w:val="none"/>
                <w:lang w:val="en-US" w:eastAsia="zh-CN" w:bidi="ar-SA"/>
              </w:rPr>
              <w:t>6</w:t>
            </w:r>
          </w:p>
        </w:tc>
        <w:tc>
          <w:tcPr>
            <w:tcW w:w="1523" w:type="dxa"/>
            <w:vAlign w:val="center"/>
          </w:tcPr>
          <w:p w14:paraId="28DF2DBC">
            <w:pPr>
              <w:keepNext/>
              <w:keepLines/>
              <w:pageBreakBefore w:val="0"/>
              <w:widowControl w:val="0"/>
              <w:numPr>
                <w:ilvl w:val="0"/>
                <w:numId w:val="0"/>
              </w:numPr>
              <w:kinsoku/>
              <w:wordWrap/>
              <w:overflowPunct/>
              <w:topLinePunct w:val="0"/>
              <w:autoSpaceDE/>
              <w:autoSpaceDN/>
              <w:bidi w:val="0"/>
              <w:adjustRightInd/>
              <w:snapToGrid/>
              <w:spacing w:before="0" w:after="0" w:line="440" w:lineRule="exact"/>
              <w:jc w:val="left"/>
              <w:textAlignment w:val="auto"/>
              <w:outlineLvl w:val="9"/>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kern w:val="2"/>
                <w:sz w:val="21"/>
                <w:szCs w:val="21"/>
                <w:highlight w:val="none"/>
                <w:lang w:val="en-US" w:eastAsia="zh-CN" w:bidi="ar-SA"/>
              </w:rPr>
              <w:t>环境维护</w:t>
            </w:r>
          </w:p>
        </w:tc>
        <w:tc>
          <w:tcPr>
            <w:tcW w:w="5769" w:type="dxa"/>
            <w:vAlign w:val="center"/>
          </w:tcPr>
          <w:p w14:paraId="573E19C2">
            <w:pPr>
              <w:keepNext/>
              <w:keepLines/>
              <w:pageBreakBefore w:val="0"/>
              <w:widowControl w:val="0"/>
              <w:numPr>
                <w:ilvl w:val="0"/>
                <w:numId w:val="0"/>
              </w:numPr>
              <w:kinsoku/>
              <w:wordWrap/>
              <w:overflowPunct/>
              <w:topLinePunct w:val="0"/>
              <w:autoSpaceDE/>
              <w:autoSpaceDN/>
              <w:bidi w:val="0"/>
              <w:adjustRightInd/>
              <w:snapToGrid/>
              <w:spacing w:before="0" w:after="0" w:line="440" w:lineRule="exact"/>
              <w:jc w:val="left"/>
              <w:textAlignment w:val="auto"/>
              <w:outlineLvl w:val="9"/>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kern w:val="2"/>
                <w:sz w:val="21"/>
                <w:szCs w:val="21"/>
                <w:highlight w:val="none"/>
                <w:lang w:val="en-US" w:eastAsia="zh-CN" w:bidi="ar-SA"/>
              </w:rPr>
              <w:t>很满意5分、满意4分、基本满意3分、较不满意1分、不满意0分</w:t>
            </w:r>
          </w:p>
        </w:tc>
      </w:tr>
      <w:tr w14:paraId="381F1D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30" w:type="dxa"/>
            <w:vAlign w:val="center"/>
          </w:tcPr>
          <w:p w14:paraId="72A04221">
            <w:pPr>
              <w:keepNext/>
              <w:keepLines/>
              <w:pageBreakBefore w:val="0"/>
              <w:widowControl w:val="0"/>
              <w:numPr>
                <w:ilvl w:val="0"/>
                <w:numId w:val="0"/>
              </w:numPr>
              <w:kinsoku/>
              <w:wordWrap/>
              <w:overflowPunct/>
              <w:topLinePunct w:val="0"/>
              <w:autoSpaceDE/>
              <w:autoSpaceDN/>
              <w:bidi w:val="0"/>
              <w:adjustRightInd/>
              <w:snapToGrid/>
              <w:spacing w:before="0" w:after="0" w:line="440" w:lineRule="exact"/>
              <w:ind w:firstLine="420" w:firstLineChars="200"/>
              <w:jc w:val="left"/>
              <w:textAlignment w:val="auto"/>
              <w:outlineLvl w:val="9"/>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kern w:val="2"/>
                <w:sz w:val="21"/>
                <w:szCs w:val="21"/>
                <w:highlight w:val="none"/>
                <w:lang w:val="en-US" w:eastAsia="zh-CN" w:bidi="ar-SA"/>
              </w:rPr>
              <w:t>7</w:t>
            </w:r>
          </w:p>
        </w:tc>
        <w:tc>
          <w:tcPr>
            <w:tcW w:w="1523" w:type="dxa"/>
            <w:vAlign w:val="center"/>
          </w:tcPr>
          <w:p w14:paraId="1EED381A">
            <w:pPr>
              <w:keepNext/>
              <w:keepLines/>
              <w:pageBreakBefore w:val="0"/>
              <w:widowControl w:val="0"/>
              <w:numPr>
                <w:ilvl w:val="0"/>
                <w:numId w:val="0"/>
              </w:numPr>
              <w:kinsoku/>
              <w:wordWrap/>
              <w:overflowPunct/>
              <w:topLinePunct w:val="0"/>
              <w:autoSpaceDE/>
              <w:autoSpaceDN/>
              <w:bidi w:val="0"/>
              <w:adjustRightInd/>
              <w:snapToGrid/>
              <w:spacing w:before="0" w:after="0" w:line="440" w:lineRule="exact"/>
              <w:jc w:val="left"/>
              <w:textAlignment w:val="auto"/>
              <w:outlineLvl w:val="9"/>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kern w:val="2"/>
                <w:sz w:val="21"/>
                <w:szCs w:val="21"/>
                <w:highlight w:val="none"/>
                <w:lang w:val="en-US" w:eastAsia="zh-CN" w:bidi="ar-SA"/>
              </w:rPr>
              <w:t>康复协助</w:t>
            </w:r>
          </w:p>
        </w:tc>
        <w:tc>
          <w:tcPr>
            <w:tcW w:w="5769" w:type="dxa"/>
            <w:vAlign w:val="center"/>
          </w:tcPr>
          <w:p w14:paraId="5582D166">
            <w:pPr>
              <w:keepNext/>
              <w:keepLines/>
              <w:pageBreakBefore w:val="0"/>
              <w:widowControl w:val="0"/>
              <w:numPr>
                <w:ilvl w:val="0"/>
                <w:numId w:val="0"/>
              </w:numPr>
              <w:kinsoku/>
              <w:wordWrap/>
              <w:overflowPunct/>
              <w:topLinePunct w:val="0"/>
              <w:autoSpaceDE/>
              <w:autoSpaceDN/>
              <w:bidi w:val="0"/>
              <w:adjustRightInd/>
              <w:snapToGrid/>
              <w:spacing w:before="0" w:after="0" w:line="440" w:lineRule="exact"/>
              <w:jc w:val="left"/>
              <w:textAlignment w:val="auto"/>
              <w:outlineLvl w:val="9"/>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kern w:val="2"/>
                <w:sz w:val="21"/>
                <w:szCs w:val="21"/>
                <w:highlight w:val="none"/>
                <w:lang w:val="en-US" w:eastAsia="zh-CN" w:bidi="ar-SA"/>
              </w:rPr>
              <w:t>很满意5分、满意4分、基本满意3分、较不满意1分、不满意0分（无康复需求此项按满分计）</w:t>
            </w:r>
          </w:p>
        </w:tc>
      </w:tr>
      <w:tr w14:paraId="096FFF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30" w:type="dxa"/>
            <w:vAlign w:val="center"/>
          </w:tcPr>
          <w:p w14:paraId="7705045A">
            <w:pPr>
              <w:keepNext/>
              <w:keepLines/>
              <w:pageBreakBefore w:val="0"/>
              <w:widowControl w:val="0"/>
              <w:numPr>
                <w:ilvl w:val="0"/>
                <w:numId w:val="0"/>
              </w:numPr>
              <w:kinsoku/>
              <w:wordWrap/>
              <w:overflowPunct/>
              <w:topLinePunct w:val="0"/>
              <w:autoSpaceDE/>
              <w:autoSpaceDN/>
              <w:bidi w:val="0"/>
              <w:adjustRightInd/>
              <w:snapToGrid/>
              <w:spacing w:before="0" w:after="0" w:line="440" w:lineRule="exact"/>
              <w:ind w:firstLine="420" w:firstLineChars="200"/>
              <w:jc w:val="left"/>
              <w:textAlignment w:val="auto"/>
              <w:outlineLvl w:val="9"/>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kern w:val="2"/>
                <w:sz w:val="21"/>
                <w:szCs w:val="21"/>
                <w:highlight w:val="none"/>
                <w:lang w:val="en-US" w:eastAsia="zh-CN" w:bidi="ar-SA"/>
              </w:rPr>
              <w:t>8</w:t>
            </w:r>
          </w:p>
        </w:tc>
        <w:tc>
          <w:tcPr>
            <w:tcW w:w="1523" w:type="dxa"/>
            <w:vAlign w:val="center"/>
          </w:tcPr>
          <w:p w14:paraId="5C641F9E">
            <w:pPr>
              <w:keepNext/>
              <w:keepLines/>
              <w:pageBreakBefore w:val="0"/>
              <w:widowControl w:val="0"/>
              <w:numPr>
                <w:ilvl w:val="0"/>
                <w:numId w:val="0"/>
              </w:numPr>
              <w:kinsoku/>
              <w:wordWrap/>
              <w:overflowPunct/>
              <w:topLinePunct w:val="0"/>
              <w:autoSpaceDE/>
              <w:autoSpaceDN/>
              <w:bidi w:val="0"/>
              <w:adjustRightInd/>
              <w:snapToGrid/>
              <w:spacing w:before="0" w:after="0" w:line="440" w:lineRule="exact"/>
              <w:jc w:val="left"/>
              <w:textAlignment w:val="auto"/>
              <w:outlineLvl w:val="9"/>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kern w:val="2"/>
                <w:sz w:val="21"/>
                <w:szCs w:val="21"/>
                <w:highlight w:val="none"/>
                <w:lang w:val="en-US" w:eastAsia="zh-CN" w:bidi="ar-SA"/>
              </w:rPr>
              <w:t>综合满意度</w:t>
            </w:r>
          </w:p>
        </w:tc>
        <w:tc>
          <w:tcPr>
            <w:tcW w:w="5769" w:type="dxa"/>
            <w:vAlign w:val="center"/>
          </w:tcPr>
          <w:p w14:paraId="4BC6FB18">
            <w:pPr>
              <w:keepNext/>
              <w:keepLines/>
              <w:pageBreakBefore w:val="0"/>
              <w:widowControl w:val="0"/>
              <w:numPr>
                <w:ilvl w:val="0"/>
                <w:numId w:val="0"/>
              </w:numPr>
              <w:kinsoku/>
              <w:wordWrap/>
              <w:overflowPunct/>
              <w:topLinePunct w:val="0"/>
              <w:autoSpaceDE/>
              <w:autoSpaceDN/>
              <w:bidi w:val="0"/>
              <w:adjustRightInd/>
              <w:snapToGrid/>
              <w:spacing w:before="0" w:after="0" w:line="440" w:lineRule="exact"/>
              <w:jc w:val="left"/>
              <w:textAlignment w:val="auto"/>
              <w:outlineLvl w:val="9"/>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kern w:val="2"/>
                <w:sz w:val="21"/>
                <w:szCs w:val="21"/>
                <w:highlight w:val="none"/>
                <w:lang w:val="en-US" w:eastAsia="zh-CN" w:bidi="ar-SA"/>
              </w:rPr>
              <w:t>很满意5分、满意4分、基本满意3分、较不满意1分、不满意0分</w:t>
            </w:r>
          </w:p>
        </w:tc>
      </w:tr>
      <w:tr w14:paraId="361E60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2" w:hRule="atLeast"/>
        </w:trPr>
        <w:tc>
          <w:tcPr>
            <w:tcW w:w="8522" w:type="dxa"/>
            <w:gridSpan w:val="3"/>
            <w:vAlign w:val="center"/>
          </w:tcPr>
          <w:p w14:paraId="7BD88865">
            <w:pPr>
              <w:keepNext/>
              <w:keepLines/>
              <w:pageBreakBefore w:val="0"/>
              <w:widowControl w:val="0"/>
              <w:numPr>
                <w:ilvl w:val="0"/>
                <w:numId w:val="0"/>
              </w:numPr>
              <w:kinsoku/>
              <w:wordWrap/>
              <w:overflowPunct/>
              <w:topLinePunct w:val="0"/>
              <w:autoSpaceDE/>
              <w:autoSpaceDN/>
              <w:bidi w:val="0"/>
              <w:adjustRightInd/>
              <w:snapToGrid/>
              <w:spacing w:before="0" w:after="0" w:line="440" w:lineRule="exact"/>
              <w:ind w:firstLine="420" w:firstLineChars="200"/>
              <w:jc w:val="left"/>
              <w:textAlignment w:val="auto"/>
              <w:outlineLvl w:val="9"/>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kern w:val="2"/>
                <w:sz w:val="21"/>
                <w:szCs w:val="21"/>
                <w:highlight w:val="none"/>
                <w:lang w:val="en-US" w:eastAsia="zh-CN" w:bidi="ar-SA"/>
              </w:rPr>
              <w:t>注：取当月所有患者调查平均分×40%计入总分</w:t>
            </w:r>
          </w:p>
        </w:tc>
      </w:tr>
    </w:tbl>
    <w:p w14:paraId="5CBB8A1A">
      <w:pPr>
        <w:keepNext w:val="0"/>
        <w:keepLines w:val="0"/>
        <w:pageBreakBefore w:val="0"/>
        <w:widowControl w:val="0"/>
        <w:kinsoku/>
        <w:wordWrap/>
        <w:overflowPunct/>
        <w:topLinePunct w:val="0"/>
        <w:autoSpaceDE/>
        <w:autoSpaceDN/>
        <w:bidi w:val="0"/>
        <w:adjustRightInd/>
        <w:snapToGrid/>
        <w:spacing w:line="440" w:lineRule="exact"/>
        <w:jc w:val="left"/>
        <w:textAlignment w:val="auto"/>
        <w:rPr>
          <w:rFonts w:hint="eastAsia" w:ascii="宋体" w:hAnsi="宋体" w:eastAsia="宋体" w:cs="宋体"/>
          <w:sz w:val="24"/>
          <w:szCs w:val="24"/>
        </w:rPr>
      </w:pPr>
    </w:p>
    <w:p w14:paraId="7E3D8307">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jc w:val="left"/>
        <w:textAlignment w:val="auto"/>
        <w:rPr>
          <w:rFonts w:hint="eastAsia" w:ascii="宋体" w:hAnsi="宋体" w:eastAsia="宋体" w:cs="宋体"/>
          <w:sz w:val="21"/>
          <w:szCs w:val="21"/>
        </w:rPr>
      </w:pPr>
      <w:r>
        <w:rPr>
          <w:rFonts w:hint="eastAsia" w:ascii="宋体" w:hAnsi="宋体" w:eastAsia="宋体" w:cs="宋体"/>
          <w:kern w:val="2"/>
          <w:sz w:val="21"/>
          <w:szCs w:val="21"/>
          <w:lang w:val="en-US" w:eastAsia="zh-CN" w:bidi="ar-SA"/>
        </w:rPr>
        <w:t>（3）</w:t>
      </w:r>
      <w:r>
        <w:rPr>
          <w:rFonts w:hint="eastAsia" w:ascii="宋体" w:hAnsi="宋体" w:eastAsia="宋体" w:cs="宋体"/>
          <w:sz w:val="21"/>
          <w:szCs w:val="21"/>
        </w:rPr>
        <w:t>工作考核（40分）</w:t>
      </w:r>
    </w:p>
    <w:p w14:paraId="6636A1AE">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rPr>
        <w:t>由科室护士长每日巡查+陪护管理办公室每周督查，按月汇总评分：</w:t>
      </w:r>
    </w:p>
    <w:tbl>
      <w:tblPr>
        <w:tblStyle w:val="4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36"/>
        <w:gridCol w:w="5752"/>
        <w:gridCol w:w="834"/>
      </w:tblGrid>
      <w:tr w14:paraId="598BE6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36" w:type="dxa"/>
            <w:vAlign w:val="center"/>
          </w:tcPr>
          <w:p w14:paraId="2F1D0581">
            <w:pPr>
              <w:keepNext/>
              <w:keepLines/>
              <w:pageBreakBefore w:val="0"/>
              <w:widowControl w:val="0"/>
              <w:numPr>
                <w:ilvl w:val="0"/>
                <w:numId w:val="0"/>
              </w:numPr>
              <w:kinsoku/>
              <w:wordWrap/>
              <w:overflowPunct/>
              <w:topLinePunct w:val="0"/>
              <w:autoSpaceDE/>
              <w:autoSpaceDN/>
              <w:bidi w:val="0"/>
              <w:adjustRightInd/>
              <w:snapToGrid/>
              <w:spacing w:before="0" w:after="0" w:line="360" w:lineRule="auto"/>
              <w:jc w:val="center"/>
              <w:textAlignment w:val="auto"/>
              <w:outlineLvl w:val="9"/>
              <w:rPr>
                <w:rFonts w:hint="eastAsia" w:ascii="宋体" w:hAnsi="宋体" w:eastAsia="宋体" w:cs="宋体"/>
                <w:b/>
                <w:bCs w:val="0"/>
                <w:kern w:val="2"/>
                <w:sz w:val="21"/>
                <w:szCs w:val="21"/>
                <w:highlight w:val="none"/>
                <w:lang w:val="en-US" w:eastAsia="zh-CN" w:bidi="ar-SA"/>
              </w:rPr>
            </w:pPr>
            <w:r>
              <w:rPr>
                <w:rFonts w:hint="eastAsia" w:ascii="宋体" w:hAnsi="宋体" w:eastAsia="宋体" w:cs="宋体"/>
                <w:b/>
                <w:bCs w:val="0"/>
                <w:kern w:val="2"/>
                <w:sz w:val="21"/>
                <w:szCs w:val="21"/>
                <w:highlight w:val="none"/>
                <w:lang w:val="en-US" w:eastAsia="zh-CN" w:bidi="ar-SA"/>
              </w:rPr>
              <w:t>评分维度</w:t>
            </w:r>
          </w:p>
        </w:tc>
        <w:tc>
          <w:tcPr>
            <w:tcW w:w="5752" w:type="dxa"/>
            <w:vAlign w:val="center"/>
          </w:tcPr>
          <w:p w14:paraId="5D70DFED">
            <w:pPr>
              <w:keepNext/>
              <w:keepLines/>
              <w:pageBreakBefore w:val="0"/>
              <w:widowControl w:val="0"/>
              <w:numPr>
                <w:ilvl w:val="0"/>
                <w:numId w:val="0"/>
              </w:numPr>
              <w:kinsoku/>
              <w:wordWrap/>
              <w:overflowPunct/>
              <w:topLinePunct w:val="0"/>
              <w:autoSpaceDE/>
              <w:autoSpaceDN/>
              <w:bidi w:val="0"/>
              <w:adjustRightInd/>
              <w:snapToGrid/>
              <w:spacing w:before="0" w:after="0" w:line="360" w:lineRule="auto"/>
              <w:jc w:val="center"/>
              <w:textAlignment w:val="auto"/>
              <w:outlineLvl w:val="9"/>
              <w:rPr>
                <w:rFonts w:hint="eastAsia" w:ascii="宋体" w:hAnsi="宋体" w:eastAsia="宋体" w:cs="宋体"/>
                <w:b/>
                <w:bCs w:val="0"/>
                <w:kern w:val="2"/>
                <w:sz w:val="21"/>
                <w:szCs w:val="21"/>
                <w:highlight w:val="none"/>
                <w:lang w:val="en-US" w:eastAsia="zh-CN" w:bidi="ar-SA"/>
              </w:rPr>
            </w:pPr>
            <w:r>
              <w:rPr>
                <w:rFonts w:hint="eastAsia" w:ascii="宋体" w:hAnsi="宋体" w:eastAsia="宋体" w:cs="宋体"/>
                <w:b/>
                <w:bCs w:val="0"/>
                <w:kern w:val="2"/>
                <w:sz w:val="21"/>
                <w:szCs w:val="21"/>
                <w:highlight w:val="none"/>
                <w:lang w:val="en-US" w:eastAsia="zh-CN" w:bidi="ar-SA"/>
              </w:rPr>
              <w:t>评分标准</w:t>
            </w:r>
          </w:p>
        </w:tc>
        <w:tc>
          <w:tcPr>
            <w:tcW w:w="834" w:type="dxa"/>
            <w:vAlign w:val="center"/>
          </w:tcPr>
          <w:p w14:paraId="0054D72F">
            <w:pPr>
              <w:keepNext/>
              <w:keepLines/>
              <w:pageBreakBefore w:val="0"/>
              <w:widowControl w:val="0"/>
              <w:numPr>
                <w:ilvl w:val="0"/>
                <w:numId w:val="0"/>
              </w:numPr>
              <w:kinsoku/>
              <w:wordWrap/>
              <w:overflowPunct/>
              <w:topLinePunct w:val="0"/>
              <w:autoSpaceDE/>
              <w:autoSpaceDN/>
              <w:bidi w:val="0"/>
              <w:adjustRightInd/>
              <w:snapToGrid/>
              <w:spacing w:before="0" w:after="0" w:line="360" w:lineRule="auto"/>
              <w:jc w:val="center"/>
              <w:textAlignment w:val="auto"/>
              <w:outlineLvl w:val="9"/>
              <w:rPr>
                <w:rFonts w:hint="eastAsia" w:ascii="宋体" w:hAnsi="宋体" w:eastAsia="宋体" w:cs="宋体"/>
                <w:b/>
                <w:bCs w:val="0"/>
                <w:kern w:val="2"/>
                <w:sz w:val="21"/>
                <w:szCs w:val="21"/>
                <w:highlight w:val="none"/>
                <w:lang w:val="en-US" w:eastAsia="zh-CN" w:bidi="ar-SA"/>
              </w:rPr>
            </w:pPr>
            <w:r>
              <w:rPr>
                <w:rFonts w:hint="eastAsia" w:ascii="宋体" w:hAnsi="宋体" w:eastAsia="宋体" w:cs="宋体"/>
                <w:b/>
                <w:bCs w:val="0"/>
                <w:kern w:val="2"/>
                <w:sz w:val="21"/>
                <w:szCs w:val="21"/>
                <w:highlight w:val="none"/>
                <w:lang w:val="en-US" w:eastAsia="zh-CN" w:bidi="ar-SA"/>
              </w:rPr>
              <w:t>分值</w:t>
            </w:r>
          </w:p>
        </w:tc>
      </w:tr>
      <w:tr w14:paraId="6D268F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36" w:type="dxa"/>
            <w:vAlign w:val="center"/>
          </w:tcPr>
          <w:p w14:paraId="0A749785">
            <w:pPr>
              <w:keepNext/>
              <w:keepLines/>
              <w:pageBreakBefore w:val="0"/>
              <w:widowControl w:val="0"/>
              <w:numPr>
                <w:ilvl w:val="0"/>
                <w:numId w:val="0"/>
              </w:numPr>
              <w:kinsoku/>
              <w:wordWrap/>
              <w:overflowPunct/>
              <w:topLinePunct w:val="0"/>
              <w:autoSpaceDE/>
              <w:autoSpaceDN/>
              <w:bidi w:val="0"/>
              <w:adjustRightInd/>
              <w:snapToGrid/>
              <w:spacing w:before="0" w:after="0" w:line="360" w:lineRule="auto"/>
              <w:jc w:val="center"/>
              <w:textAlignment w:val="auto"/>
              <w:outlineLvl w:val="9"/>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kern w:val="2"/>
                <w:sz w:val="21"/>
                <w:szCs w:val="21"/>
                <w:highlight w:val="none"/>
                <w:lang w:val="en-US" w:eastAsia="zh-CN" w:bidi="ar-SA"/>
              </w:rPr>
              <w:t>岗位履职情况</w:t>
            </w:r>
          </w:p>
        </w:tc>
        <w:tc>
          <w:tcPr>
            <w:tcW w:w="5752" w:type="dxa"/>
            <w:vAlign w:val="center"/>
          </w:tcPr>
          <w:p w14:paraId="434B19DA">
            <w:pPr>
              <w:keepNext/>
              <w:keepLines/>
              <w:pageBreakBefore w:val="0"/>
              <w:widowControl w:val="0"/>
              <w:numPr>
                <w:ilvl w:val="0"/>
                <w:numId w:val="0"/>
              </w:numPr>
              <w:kinsoku/>
              <w:wordWrap/>
              <w:overflowPunct/>
              <w:topLinePunct w:val="0"/>
              <w:autoSpaceDE/>
              <w:autoSpaceDN/>
              <w:bidi w:val="0"/>
              <w:adjustRightInd/>
              <w:snapToGrid/>
              <w:spacing w:before="0" w:after="0" w:line="360" w:lineRule="auto"/>
              <w:jc w:val="both"/>
              <w:textAlignment w:val="auto"/>
              <w:outlineLvl w:val="9"/>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kern w:val="2"/>
                <w:sz w:val="21"/>
                <w:szCs w:val="21"/>
                <w:highlight w:val="none"/>
                <w:lang w:val="en-US" w:eastAsia="zh-CN" w:bidi="ar-SA"/>
              </w:rPr>
              <w:t>全程遵守工作流程、无遗漏服务得10分；偶有遗漏但及时补做得6分；多次遗漏得0分</w:t>
            </w:r>
          </w:p>
        </w:tc>
        <w:tc>
          <w:tcPr>
            <w:tcW w:w="834" w:type="dxa"/>
            <w:vAlign w:val="center"/>
          </w:tcPr>
          <w:p w14:paraId="1881BF32">
            <w:pPr>
              <w:keepNext/>
              <w:keepLines/>
              <w:pageBreakBefore w:val="0"/>
              <w:widowControl w:val="0"/>
              <w:numPr>
                <w:ilvl w:val="0"/>
                <w:numId w:val="0"/>
              </w:numPr>
              <w:kinsoku/>
              <w:wordWrap/>
              <w:overflowPunct/>
              <w:topLinePunct w:val="0"/>
              <w:autoSpaceDE/>
              <w:autoSpaceDN/>
              <w:bidi w:val="0"/>
              <w:adjustRightInd/>
              <w:snapToGrid/>
              <w:spacing w:before="0" w:after="0" w:line="360" w:lineRule="auto"/>
              <w:jc w:val="center"/>
              <w:textAlignment w:val="auto"/>
              <w:outlineLvl w:val="9"/>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kern w:val="2"/>
                <w:sz w:val="21"/>
                <w:szCs w:val="21"/>
                <w:highlight w:val="none"/>
                <w:lang w:val="en-US" w:eastAsia="zh-CN" w:bidi="ar-SA"/>
              </w:rPr>
              <w:t>10分</w:t>
            </w:r>
          </w:p>
        </w:tc>
      </w:tr>
      <w:tr w14:paraId="31D2F2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36" w:type="dxa"/>
            <w:vAlign w:val="center"/>
          </w:tcPr>
          <w:p w14:paraId="7884DA05">
            <w:pPr>
              <w:keepNext/>
              <w:keepLines/>
              <w:pageBreakBefore w:val="0"/>
              <w:widowControl w:val="0"/>
              <w:numPr>
                <w:ilvl w:val="0"/>
                <w:numId w:val="0"/>
              </w:numPr>
              <w:kinsoku/>
              <w:wordWrap/>
              <w:overflowPunct/>
              <w:topLinePunct w:val="0"/>
              <w:autoSpaceDE/>
              <w:autoSpaceDN/>
              <w:bidi w:val="0"/>
              <w:adjustRightInd/>
              <w:snapToGrid/>
              <w:spacing w:before="0" w:after="0" w:line="360" w:lineRule="auto"/>
              <w:jc w:val="center"/>
              <w:textAlignment w:val="auto"/>
              <w:outlineLvl w:val="9"/>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kern w:val="2"/>
                <w:sz w:val="21"/>
                <w:szCs w:val="21"/>
                <w:highlight w:val="none"/>
                <w:lang w:val="en-US" w:eastAsia="zh-CN" w:bidi="ar-SA"/>
              </w:rPr>
              <w:t>操作规范度</w:t>
            </w:r>
          </w:p>
        </w:tc>
        <w:tc>
          <w:tcPr>
            <w:tcW w:w="5752" w:type="dxa"/>
            <w:vAlign w:val="center"/>
          </w:tcPr>
          <w:p w14:paraId="54BFD29B">
            <w:pPr>
              <w:keepNext/>
              <w:keepLines/>
              <w:pageBreakBefore w:val="0"/>
              <w:widowControl w:val="0"/>
              <w:numPr>
                <w:ilvl w:val="0"/>
                <w:numId w:val="0"/>
              </w:numPr>
              <w:kinsoku/>
              <w:wordWrap/>
              <w:overflowPunct/>
              <w:topLinePunct w:val="0"/>
              <w:autoSpaceDE/>
              <w:autoSpaceDN/>
              <w:bidi w:val="0"/>
              <w:adjustRightInd/>
              <w:snapToGrid/>
              <w:spacing w:before="0" w:after="0" w:line="360" w:lineRule="auto"/>
              <w:jc w:val="both"/>
              <w:textAlignment w:val="auto"/>
              <w:outlineLvl w:val="9"/>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kern w:val="2"/>
                <w:sz w:val="21"/>
                <w:szCs w:val="21"/>
                <w:highlight w:val="none"/>
                <w:lang w:val="en-US" w:eastAsia="zh-CN" w:bidi="ar-SA"/>
              </w:rPr>
              <w:t>生活照护、康复协助等操作完全符合标准得10分；基本符合得6分；不符合得0分</w:t>
            </w:r>
          </w:p>
        </w:tc>
        <w:tc>
          <w:tcPr>
            <w:tcW w:w="834" w:type="dxa"/>
            <w:vAlign w:val="center"/>
          </w:tcPr>
          <w:p w14:paraId="2CD410E8">
            <w:pPr>
              <w:keepNext/>
              <w:keepLines/>
              <w:pageBreakBefore w:val="0"/>
              <w:widowControl w:val="0"/>
              <w:numPr>
                <w:ilvl w:val="0"/>
                <w:numId w:val="0"/>
              </w:numPr>
              <w:kinsoku/>
              <w:wordWrap/>
              <w:overflowPunct/>
              <w:topLinePunct w:val="0"/>
              <w:autoSpaceDE/>
              <w:autoSpaceDN/>
              <w:bidi w:val="0"/>
              <w:adjustRightInd/>
              <w:snapToGrid/>
              <w:spacing w:before="0" w:after="0" w:line="360" w:lineRule="auto"/>
              <w:jc w:val="center"/>
              <w:textAlignment w:val="auto"/>
              <w:outlineLvl w:val="9"/>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kern w:val="2"/>
                <w:sz w:val="21"/>
                <w:szCs w:val="21"/>
                <w:highlight w:val="none"/>
                <w:lang w:val="en-US" w:eastAsia="zh-CN" w:bidi="ar-SA"/>
              </w:rPr>
              <w:t>10分</w:t>
            </w:r>
          </w:p>
        </w:tc>
      </w:tr>
      <w:tr w14:paraId="24168D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36" w:type="dxa"/>
            <w:vAlign w:val="center"/>
          </w:tcPr>
          <w:p w14:paraId="1418DEFC">
            <w:pPr>
              <w:keepNext/>
              <w:keepLines/>
              <w:pageBreakBefore w:val="0"/>
              <w:widowControl w:val="0"/>
              <w:numPr>
                <w:ilvl w:val="0"/>
                <w:numId w:val="0"/>
              </w:numPr>
              <w:kinsoku/>
              <w:wordWrap/>
              <w:overflowPunct/>
              <w:topLinePunct w:val="0"/>
              <w:autoSpaceDE/>
              <w:autoSpaceDN/>
              <w:bidi w:val="0"/>
              <w:adjustRightInd/>
              <w:snapToGrid/>
              <w:spacing w:before="0" w:after="0" w:line="360" w:lineRule="auto"/>
              <w:jc w:val="center"/>
              <w:textAlignment w:val="auto"/>
              <w:outlineLvl w:val="9"/>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kern w:val="2"/>
                <w:sz w:val="21"/>
                <w:szCs w:val="21"/>
                <w:highlight w:val="none"/>
                <w:lang w:val="en-US" w:eastAsia="zh-CN" w:bidi="ar-SA"/>
              </w:rPr>
              <w:t>院感执行情况</w:t>
            </w:r>
          </w:p>
        </w:tc>
        <w:tc>
          <w:tcPr>
            <w:tcW w:w="5752" w:type="dxa"/>
            <w:vAlign w:val="center"/>
          </w:tcPr>
          <w:p w14:paraId="6D2FF0D0">
            <w:pPr>
              <w:keepNext/>
              <w:keepLines/>
              <w:pageBreakBefore w:val="0"/>
              <w:widowControl w:val="0"/>
              <w:numPr>
                <w:ilvl w:val="0"/>
                <w:numId w:val="0"/>
              </w:numPr>
              <w:kinsoku/>
              <w:wordWrap/>
              <w:overflowPunct/>
              <w:topLinePunct w:val="0"/>
              <w:autoSpaceDE/>
              <w:autoSpaceDN/>
              <w:bidi w:val="0"/>
              <w:adjustRightInd/>
              <w:snapToGrid/>
              <w:spacing w:before="0" w:after="0" w:line="360" w:lineRule="auto"/>
              <w:jc w:val="both"/>
              <w:textAlignment w:val="auto"/>
              <w:outlineLvl w:val="9"/>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kern w:val="2"/>
                <w:sz w:val="21"/>
                <w:szCs w:val="21"/>
                <w:highlight w:val="none"/>
                <w:lang w:val="en-US" w:eastAsia="zh-CN" w:bidi="ar-SA"/>
              </w:rPr>
              <w:t>手卫生、防护用品使用等100%达标得10分；达标率≥80%得6分；＜80%得0分</w:t>
            </w:r>
          </w:p>
        </w:tc>
        <w:tc>
          <w:tcPr>
            <w:tcW w:w="834" w:type="dxa"/>
            <w:vAlign w:val="center"/>
          </w:tcPr>
          <w:p w14:paraId="7EDB4E1A">
            <w:pPr>
              <w:keepNext/>
              <w:keepLines/>
              <w:pageBreakBefore w:val="0"/>
              <w:widowControl w:val="0"/>
              <w:numPr>
                <w:ilvl w:val="0"/>
                <w:numId w:val="0"/>
              </w:numPr>
              <w:kinsoku/>
              <w:wordWrap/>
              <w:overflowPunct/>
              <w:topLinePunct w:val="0"/>
              <w:autoSpaceDE/>
              <w:autoSpaceDN/>
              <w:bidi w:val="0"/>
              <w:adjustRightInd/>
              <w:snapToGrid/>
              <w:spacing w:before="0" w:after="0" w:line="360" w:lineRule="auto"/>
              <w:jc w:val="center"/>
              <w:textAlignment w:val="auto"/>
              <w:outlineLvl w:val="9"/>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kern w:val="2"/>
                <w:sz w:val="21"/>
                <w:szCs w:val="21"/>
                <w:highlight w:val="none"/>
                <w:lang w:val="en-US" w:eastAsia="zh-CN" w:bidi="ar-SA"/>
              </w:rPr>
              <w:t>10分</w:t>
            </w:r>
          </w:p>
        </w:tc>
      </w:tr>
      <w:tr w14:paraId="7E4276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36" w:type="dxa"/>
            <w:vAlign w:val="center"/>
          </w:tcPr>
          <w:p w14:paraId="6F368EA8">
            <w:pPr>
              <w:keepNext/>
              <w:keepLines/>
              <w:pageBreakBefore w:val="0"/>
              <w:widowControl w:val="0"/>
              <w:numPr>
                <w:ilvl w:val="0"/>
                <w:numId w:val="0"/>
              </w:numPr>
              <w:kinsoku/>
              <w:wordWrap/>
              <w:overflowPunct/>
              <w:topLinePunct w:val="0"/>
              <w:autoSpaceDE/>
              <w:autoSpaceDN/>
              <w:bidi w:val="0"/>
              <w:adjustRightInd/>
              <w:snapToGrid/>
              <w:spacing w:before="0" w:after="0" w:line="360" w:lineRule="auto"/>
              <w:jc w:val="center"/>
              <w:textAlignment w:val="auto"/>
              <w:outlineLvl w:val="9"/>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kern w:val="2"/>
                <w:sz w:val="21"/>
                <w:szCs w:val="21"/>
                <w:highlight w:val="none"/>
                <w:lang w:val="en-US" w:eastAsia="zh-CN" w:bidi="ar-SA"/>
              </w:rPr>
              <w:t>纪律遵守情况</w:t>
            </w:r>
          </w:p>
        </w:tc>
        <w:tc>
          <w:tcPr>
            <w:tcW w:w="5752" w:type="dxa"/>
            <w:vAlign w:val="center"/>
          </w:tcPr>
          <w:p w14:paraId="55496C56">
            <w:pPr>
              <w:keepNext/>
              <w:keepLines/>
              <w:pageBreakBefore w:val="0"/>
              <w:widowControl w:val="0"/>
              <w:numPr>
                <w:ilvl w:val="0"/>
                <w:numId w:val="0"/>
              </w:numPr>
              <w:kinsoku/>
              <w:wordWrap/>
              <w:overflowPunct/>
              <w:topLinePunct w:val="0"/>
              <w:autoSpaceDE/>
              <w:autoSpaceDN/>
              <w:bidi w:val="0"/>
              <w:adjustRightInd/>
              <w:snapToGrid/>
              <w:spacing w:before="0" w:after="0" w:line="360" w:lineRule="auto"/>
              <w:jc w:val="both"/>
              <w:textAlignment w:val="auto"/>
              <w:outlineLvl w:val="9"/>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kern w:val="2"/>
                <w:sz w:val="21"/>
                <w:szCs w:val="21"/>
                <w:highlight w:val="none"/>
                <w:lang w:val="en-US" w:eastAsia="zh-CN" w:bidi="ar-SA"/>
              </w:rPr>
              <w:t>无迟到早退、脱岗、玩手机等违规得10分；1次违规得6分；2次及以上得0分</w:t>
            </w:r>
          </w:p>
        </w:tc>
        <w:tc>
          <w:tcPr>
            <w:tcW w:w="834" w:type="dxa"/>
            <w:vAlign w:val="center"/>
          </w:tcPr>
          <w:p w14:paraId="56B55C72">
            <w:pPr>
              <w:keepNext/>
              <w:keepLines/>
              <w:pageBreakBefore w:val="0"/>
              <w:widowControl w:val="0"/>
              <w:numPr>
                <w:ilvl w:val="0"/>
                <w:numId w:val="0"/>
              </w:numPr>
              <w:kinsoku/>
              <w:wordWrap/>
              <w:overflowPunct/>
              <w:topLinePunct w:val="0"/>
              <w:autoSpaceDE/>
              <w:autoSpaceDN/>
              <w:bidi w:val="0"/>
              <w:adjustRightInd/>
              <w:snapToGrid/>
              <w:spacing w:before="0" w:after="0" w:line="360" w:lineRule="auto"/>
              <w:jc w:val="center"/>
              <w:textAlignment w:val="auto"/>
              <w:outlineLvl w:val="9"/>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kern w:val="2"/>
                <w:sz w:val="21"/>
                <w:szCs w:val="21"/>
                <w:highlight w:val="none"/>
                <w:lang w:val="en-US" w:eastAsia="zh-CN" w:bidi="ar-SA"/>
              </w:rPr>
              <w:t>10分</w:t>
            </w:r>
          </w:p>
        </w:tc>
      </w:tr>
      <w:tr w14:paraId="546F83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22" w:type="dxa"/>
            <w:gridSpan w:val="3"/>
            <w:vAlign w:val="center"/>
          </w:tcPr>
          <w:p w14:paraId="3673E6D6">
            <w:pPr>
              <w:keepNext/>
              <w:keepLines/>
              <w:pageBreakBefore w:val="0"/>
              <w:widowControl w:val="0"/>
              <w:numPr>
                <w:ilvl w:val="0"/>
                <w:numId w:val="0"/>
              </w:numPr>
              <w:kinsoku/>
              <w:wordWrap/>
              <w:overflowPunct/>
              <w:topLinePunct w:val="0"/>
              <w:autoSpaceDE/>
              <w:autoSpaceDN/>
              <w:bidi w:val="0"/>
              <w:adjustRightInd/>
              <w:snapToGrid/>
              <w:spacing w:before="0" w:after="0" w:line="360" w:lineRule="auto"/>
              <w:jc w:val="both"/>
              <w:textAlignment w:val="auto"/>
              <w:outlineLvl w:val="9"/>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kern w:val="2"/>
                <w:sz w:val="21"/>
                <w:szCs w:val="21"/>
                <w:highlight w:val="none"/>
                <w:lang w:val="en-US" w:eastAsia="zh-CN" w:bidi="ar-SA"/>
              </w:rPr>
              <w:t>注：先分别计算科室护士长的月度日均得分、陪护管理办公室的月度周均得分，两者取平均值作为工作考核原始均值，再×40%计入总分</w:t>
            </w:r>
          </w:p>
        </w:tc>
      </w:tr>
    </w:tbl>
    <w:p w14:paraId="525E70C6">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3.</w:t>
      </w:r>
      <w:r>
        <w:rPr>
          <w:rFonts w:hint="eastAsia" w:ascii="宋体" w:hAnsi="宋体" w:eastAsia="宋体" w:cs="宋体"/>
          <w:sz w:val="21"/>
          <w:szCs w:val="21"/>
        </w:rPr>
        <w:t>补充说明：</w:t>
      </w:r>
    </w:p>
    <w:p w14:paraId="00617BDE">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lang w:eastAsia="zh-CN"/>
        </w:rPr>
      </w:pP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1</w:t>
      </w:r>
      <w:r>
        <w:rPr>
          <w:rFonts w:hint="eastAsia" w:ascii="宋体" w:hAnsi="宋体" w:eastAsia="宋体" w:cs="宋体"/>
          <w:sz w:val="21"/>
          <w:szCs w:val="21"/>
          <w:lang w:eastAsia="zh-CN"/>
        </w:rPr>
        <w:t>）</w:t>
      </w:r>
      <w:r>
        <w:rPr>
          <w:rFonts w:hint="eastAsia" w:ascii="宋体" w:hAnsi="宋体" w:eastAsia="宋体" w:cs="宋体"/>
          <w:sz w:val="21"/>
          <w:szCs w:val="21"/>
        </w:rPr>
        <w:t>考核评分需留存记录（如巡查记录表、患者调查截图），以备核查</w:t>
      </w:r>
      <w:r>
        <w:rPr>
          <w:rFonts w:hint="eastAsia" w:ascii="宋体" w:hAnsi="宋体" w:eastAsia="宋体" w:cs="宋体"/>
          <w:sz w:val="21"/>
          <w:szCs w:val="21"/>
          <w:lang w:eastAsia="zh-CN"/>
        </w:rPr>
        <w:t>。</w:t>
      </w:r>
    </w:p>
    <w:p w14:paraId="76F2FEAA">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2</w:t>
      </w:r>
      <w:r>
        <w:rPr>
          <w:rFonts w:hint="eastAsia" w:ascii="宋体" w:hAnsi="宋体" w:eastAsia="宋体" w:cs="宋体"/>
          <w:sz w:val="21"/>
          <w:szCs w:val="21"/>
          <w:lang w:eastAsia="zh-CN"/>
        </w:rPr>
        <w:t>）</w:t>
      </w:r>
      <w:r>
        <w:rPr>
          <w:rFonts w:hint="eastAsia" w:ascii="宋体" w:hAnsi="宋体" w:eastAsia="宋体" w:cs="宋体"/>
          <w:sz w:val="21"/>
          <w:szCs w:val="21"/>
        </w:rPr>
        <w:t>若出现重大不良事件（如造成患者跌倒伤害、违规操作），直接扣除工作考核全部分值，当月考核按不合格处理。</w:t>
      </w:r>
    </w:p>
    <w:p w14:paraId="512C5D15">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3</w:t>
      </w:r>
      <w:r>
        <w:rPr>
          <w:rFonts w:hint="eastAsia" w:ascii="宋体" w:hAnsi="宋体" w:eastAsia="宋体" w:cs="宋体"/>
          <w:sz w:val="21"/>
          <w:szCs w:val="21"/>
          <w:lang w:eastAsia="zh-CN"/>
        </w:rPr>
        <w:t>）</w:t>
      </w:r>
      <w:r>
        <w:rPr>
          <w:rFonts w:hint="eastAsia" w:ascii="宋体" w:hAnsi="宋体" w:eastAsia="宋体" w:cs="宋体"/>
          <w:sz w:val="21"/>
          <w:szCs w:val="21"/>
        </w:rPr>
        <w:t>发生以下列情况，当月需以违约金形式由公司直接支付给医院：</w:t>
      </w:r>
    </w:p>
    <w:p w14:paraId="3CCC24EF">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仿宋" w:hAnsi="仿宋" w:eastAsia="仿宋" w:cs="仿宋"/>
          <w:sz w:val="21"/>
          <w:szCs w:val="21"/>
        </w:rPr>
        <w:t>·</w:t>
      </w:r>
      <w:r>
        <w:rPr>
          <w:rFonts w:hint="eastAsia" w:ascii="宋体" w:hAnsi="宋体" w:eastAsia="宋体" w:cs="宋体"/>
          <w:sz w:val="21"/>
          <w:szCs w:val="21"/>
        </w:rPr>
        <w:t>12345投诉：500元/次；</w:t>
      </w:r>
    </w:p>
    <w:p w14:paraId="575280D9">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仿宋" w:hAnsi="仿宋" w:eastAsia="仿宋" w:cs="仿宋"/>
          <w:sz w:val="21"/>
          <w:szCs w:val="21"/>
        </w:rPr>
        <w:t>·</w:t>
      </w:r>
      <w:r>
        <w:rPr>
          <w:rFonts w:hint="eastAsia" w:ascii="宋体" w:hAnsi="宋体" w:eastAsia="宋体" w:cs="宋体"/>
          <w:sz w:val="21"/>
          <w:szCs w:val="21"/>
        </w:rPr>
        <w:t>医护人员投诉：100元/次；</w:t>
      </w:r>
    </w:p>
    <w:p w14:paraId="0147BA1F">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仿宋" w:hAnsi="仿宋" w:eastAsia="仿宋" w:cs="仿宋"/>
          <w:sz w:val="21"/>
          <w:szCs w:val="21"/>
        </w:rPr>
        <w:t>·</w:t>
      </w:r>
      <w:r>
        <w:rPr>
          <w:rFonts w:hint="eastAsia" w:ascii="宋体" w:hAnsi="宋体" w:eastAsia="宋体" w:cs="宋体"/>
          <w:sz w:val="21"/>
          <w:szCs w:val="21"/>
        </w:rPr>
        <w:t>私自离岗未向护士交代被投诉：100元/次；</w:t>
      </w:r>
    </w:p>
    <w:p w14:paraId="2EAF3AB8">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仿宋" w:hAnsi="仿宋" w:eastAsia="仿宋" w:cs="仿宋"/>
          <w:sz w:val="21"/>
          <w:szCs w:val="21"/>
        </w:rPr>
        <w:t>·</w:t>
      </w:r>
      <w:r>
        <w:rPr>
          <w:rFonts w:hint="eastAsia" w:ascii="宋体" w:hAnsi="宋体" w:eastAsia="宋体" w:cs="宋体"/>
          <w:sz w:val="21"/>
          <w:szCs w:val="21"/>
        </w:rPr>
        <w:t>仪容仪表不符合要求：100元/人/次；</w:t>
      </w:r>
    </w:p>
    <w:p w14:paraId="3BA36C2E">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仿宋" w:hAnsi="仿宋" w:eastAsia="仿宋" w:cs="仿宋"/>
          <w:sz w:val="21"/>
          <w:szCs w:val="21"/>
        </w:rPr>
        <w:t>·</w:t>
      </w:r>
      <w:r>
        <w:rPr>
          <w:rFonts w:hint="eastAsia" w:ascii="宋体" w:hAnsi="宋体" w:eastAsia="宋体" w:cs="宋体"/>
          <w:sz w:val="21"/>
          <w:szCs w:val="21"/>
        </w:rPr>
        <w:t>体检不合格上岗：100元/人/次；</w:t>
      </w:r>
    </w:p>
    <w:p w14:paraId="529F9EAE">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仿宋" w:hAnsi="仿宋" w:eastAsia="仿宋" w:cs="仿宋"/>
          <w:sz w:val="21"/>
          <w:szCs w:val="21"/>
        </w:rPr>
        <w:t>·</w:t>
      </w:r>
      <w:r>
        <w:rPr>
          <w:rFonts w:hint="eastAsia" w:ascii="宋体" w:hAnsi="宋体" w:eastAsia="宋体" w:cs="宋体"/>
          <w:sz w:val="21"/>
          <w:szCs w:val="21"/>
        </w:rPr>
        <w:t>未进行入职培训上岗：100元/人/次；</w:t>
      </w:r>
    </w:p>
    <w:p w14:paraId="482646BD">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仿宋" w:hAnsi="仿宋" w:eastAsia="仿宋" w:cs="仿宋"/>
          <w:sz w:val="21"/>
          <w:szCs w:val="21"/>
        </w:rPr>
        <w:t>·</w:t>
      </w:r>
      <w:r>
        <w:rPr>
          <w:rFonts w:hint="eastAsia" w:ascii="宋体" w:hAnsi="宋体" w:eastAsia="宋体" w:cs="宋体"/>
          <w:sz w:val="21"/>
          <w:szCs w:val="21"/>
        </w:rPr>
        <w:t>发生未造成伤害的三四级不良事件：500元/例；</w:t>
      </w:r>
    </w:p>
    <w:p w14:paraId="4960148F">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仿宋" w:hAnsi="仿宋" w:eastAsia="仿宋" w:cs="仿宋"/>
          <w:sz w:val="21"/>
          <w:szCs w:val="21"/>
        </w:rPr>
        <w:t>·</w:t>
      </w:r>
      <w:r>
        <w:rPr>
          <w:rFonts w:hint="eastAsia" w:ascii="宋体" w:hAnsi="宋体" w:eastAsia="宋体" w:cs="宋体"/>
          <w:sz w:val="21"/>
          <w:szCs w:val="21"/>
        </w:rPr>
        <w:t>陪人床未收回库房：100元/人/次；</w:t>
      </w:r>
    </w:p>
    <w:p w14:paraId="0D761590">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仿宋" w:hAnsi="仿宋" w:eastAsia="仿宋" w:cs="仿宋"/>
          <w:sz w:val="21"/>
          <w:szCs w:val="21"/>
        </w:rPr>
        <w:t>·</w:t>
      </w:r>
      <w:r>
        <w:rPr>
          <w:rFonts w:hint="eastAsia" w:ascii="宋体" w:hAnsi="宋体" w:eastAsia="宋体" w:cs="宋体"/>
          <w:sz w:val="21"/>
          <w:szCs w:val="21"/>
        </w:rPr>
        <w:t>违反岗位要求：100元/人/次；</w:t>
      </w:r>
    </w:p>
    <w:p w14:paraId="22F5A8A9">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4"/>
          <w:szCs w:val="24"/>
        </w:rPr>
      </w:pPr>
      <w:r>
        <w:rPr>
          <w:rFonts w:hint="eastAsia" w:ascii="仿宋" w:hAnsi="仿宋" w:eastAsia="仿宋" w:cs="仿宋"/>
          <w:sz w:val="21"/>
          <w:szCs w:val="21"/>
        </w:rPr>
        <w:t>·</w:t>
      </w:r>
      <w:r>
        <w:rPr>
          <w:rFonts w:hint="eastAsia" w:ascii="宋体" w:hAnsi="宋体" w:eastAsia="宋体" w:cs="宋体"/>
          <w:sz w:val="21"/>
          <w:szCs w:val="21"/>
        </w:rPr>
        <w:t>未按公示价格收费：200元/人/次。</w:t>
      </w:r>
    </w:p>
    <w:p w14:paraId="2F585022">
      <w:pPr>
        <w:keepNext w:val="0"/>
        <w:keepLines w:val="0"/>
        <w:pageBreakBefore w:val="0"/>
        <w:widowControl w:val="0"/>
        <w:kinsoku/>
        <w:wordWrap/>
        <w:overflowPunct/>
        <w:topLinePunct w:val="0"/>
        <w:autoSpaceDE/>
        <w:autoSpaceDN/>
        <w:bidi w:val="0"/>
        <w:adjustRightInd/>
        <w:snapToGrid/>
        <w:spacing w:line="440" w:lineRule="exact"/>
        <w:jc w:val="left"/>
        <w:textAlignment w:val="auto"/>
        <w:rPr>
          <w:rFonts w:hint="eastAsia" w:ascii="宋体" w:hAnsi="宋体" w:eastAsia="宋体" w:cs="宋体"/>
          <w:b/>
          <w:bCs/>
          <w:sz w:val="24"/>
          <w:szCs w:val="24"/>
        </w:rPr>
      </w:pPr>
      <w:r>
        <w:rPr>
          <w:rFonts w:hint="eastAsia" w:ascii="宋体" w:hAnsi="宋体" w:eastAsia="宋体" w:cs="宋体"/>
          <w:b/>
          <w:bCs/>
          <w:sz w:val="24"/>
          <w:szCs w:val="24"/>
        </w:rPr>
        <w:t>（二）结果应用</w:t>
      </w:r>
    </w:p>
    <w:p w14:paraId="696B5516">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lang w:eastAsia="zh-CN"/>
        </w:rPr>
      </w:pPr>
      <w:r>
        <w:rPr>
          <w:rFonts w:hint="eastAsia" w:ascii="宋体" w:hAnsi="宋体" w:eastAsia="宋体" w:cs="宋体"/>
          <w:sz w:val="21"/>
          <w:szCs w:val="21"/>
        </w:rPr>
        <w:t>1.考核≥90分：合同履行并优先续签下一年度合同</w:t>
      </w:r>
      <w:r>
        <w:rPr>
          <w:rFonts w:hint="eastAsia" w:ascii="宋体" w:hAnsi="宋体" w:eastAsia="宋体" w:cs="宋体"/>
          <w:sz w:val="21"/>
          <w:szCs w:val="21"/>
          <w:lang w:eastAsia="zh-CN"/>
        </w:rPr>
        <w:t>。</w:t>
      </w:r>
    </w:p>
    <w:p w14:paraId="3D5E8573">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2</w:t>
      </w:r>
      <w:r>
        <w:rPr>
          <w:rFonts w:hint="eastAsia" w:ascii="宋体" w:hAnsi="宋体" w:eastAsia="宋体" w:cs="宋体"/>
          <w:sz w:val="21"/>
          <w:szCs w:val="21"/>
        </w:rPr>
        <w:t>.＜80分：为不合格，公司应支付当月服务费的2%作为违约金；院方并约谈公司负责人并提交整改方案，连续2个月考评不合格或年度累计3次不合格，解除合同。</w:t>
      </w:r>
    </w:p>
    <w:p w14:paraId="14A77417">
      <w:pPr>
        <w:keepNext w:val="0"/>
        <w:keepLines w:val="0"/>
        <w:pageBreakBefore w:val="0"/>
        <w:widowControl w:val="0"/>
        <w:kinsoku/>
        <w:wordWrap/>
        <w:overflowPunct/>
        <w:topLinePunct w:val="0"/>
        <w:autoSpaceDE/>
        <w:autoSpaceDN/>
        <w:bidi w:val="0"/>
        <w:adjustRightInd/>
        <w:snapToGrid/>
        <w:spacing w:line="440" w:lineRule="exact"/>
        <w:jc w:val="left"/>
        <w:textAlignment w:val="auto"/>
        <w:rPr>
          <w:rFonts w:hint="eastAsia" w:ascii="宋体" w:hAnsi="宋体" w:eastAsia="宋体" w:cs="宋体"/>
          <w:b/>
          <w:bCs/>
          <w:sz w:val="24"/>
          <w:szCs w:val="24"/>
        </w:rPr>
      </w:pPr>
      <w:r>
        <w:rPr>
          <w:rFonts w:hint="eastAsia" w:ascii="宋体" w:hAnsi="宋体" w:eastAsia="宋体" w:cs="宋体"/>
          <w:b/>
          <w:bCs/>
          <w:sz w:val="24"/>
          <w:szCs w:val="24"/>
        </w:rPr>
        <w:t>（三）监督措施</w:t>
      </w:r>
    </w:p>
    <w:p w14:paraId="4857E837">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rPr>
        <w:t>1.公司自我监督：建立内部自查机制，每日由护理员组长开展岗位巡查，每周由驻点管理人员组织服务质量全面自查，每月形成自查报告（含问题清单、整改措施及成效），并于每月15日前将上个月的检查报送医院陪护管理办公室备案。</w:t>
      </w:r>
    </w:p>
    <w:p w14:paraId="23AB96F7">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rPr>
        <w:t>2.院方抽查督查：陪护管理办公室每月开展不少于1次现场督查，科室护士长每日进行日常巡查，重点核查服务规范、院感执行、纪律遵守等情况，记录问题并跟踪整改闭环。</w:t>
      </w:r>
    </w:p>
    <w:p w14:paraId="2D5C6703">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rPr>
        <w:t>3.投诉反馈监督：设立多渠道投诉反馈通道（含现场投诉、电话投诉），投诉响应时限不超过2小时，24小时内给出处理方案，复杂问题7日内解决；处理结果需及时向投诉方反馈，并留存记录备查。</w:t>
      </w:r>
    </w:p>
    <w:p w14:paraId="6773584A">
      <w:pPr>
        <w:keepNext w:val="0"/>
        <w:keepLines w:val="0"/>
        <w:pageBreakBefore w:val="0"/>
        <w:widowControl w:val="0"/>
        <w:kinsoku/>
        <w:wordWrap/>
        <w:overflowPunct/>
        <w:topLinePunct w:val="0"/>
        <w:autoSpaceDE/>
        <w:autoSpaceDN/>
        <w:bidi w:val="0"/>
        <w:adjustRightInd/>
        <w:snapToGrid/>
        <w:spacing w:line="440" w:lineRule="exact"/>
        <w:jc w:val="left"/>
        <w:textAlignment w:val="auto"/>
        <w:rPr>
          <w:rFonts w:hint="eastAsia" w:ascii="宋体" w:hAnsi="宋体" w:eastAsia="宋体" w:cs="宋体"/>
          <w:b/>
          <w:bCs/>
          <w:sz w:val="28"/>
          <w:szCs w:val="28"/>
        </w:rPr>
      </w:pPr>
      <w:r>
        <w:rPr>
          <w:rFonts w:hint="eastAsia" w:ascii="宋体" w:hAnsi="宋体" w:eastAsia="宋体" w:cs="宋体"/>
          <w:b/>
          <w:bCs/>
          <w:sz w:val="28"/>
          <w:szCs w:val="28"/>
          <w:lang w:val="en-US" w:eastAsia="zh-CN"/>
        </w:rPr>
        <w:t>七</w:t>
      </w:r>
      <w:r>
        <w:rPr>
          <w:rFonts w:hint="eastAsia" w:ascii="宋体" w:hAnsi="宋体" w:eastAsia="宋体" w:cs="宋体"/>
          <w:b/>
          <w:bCs/>
          <w:sz w:val="28"/>
          <w:szCs w:val="28"/>
        </w:rPr>
        <w:t>、收费与结算</w:t>
      </w:r>
    </w:p>
    <w:p w14:paraId="53998CA6">
      <w:pPr>
        <w:keepNext w:val="0"/>
        <w:keepLines w:val="0"/>
        <w:pageBreakBefore w:val="0"/>
        <w:widowControl w:val="0"/>
        <w:kinsoku/>
        <w:wordWrap/>
        <w:overflowPunct/>
        <w:topLinePunct w:val="0"/>
        <w:autoSpaceDE/>
        <w:autoSpaceDN/>
        <w:bidi w:val="0"/>
        <w:adjustRightInd/>
        <w:snapToGrid/>
        <w:spacing w:line="440" w:lineRule="exact"/>
        <w:jc w:val="left"/>
        <w:textAlignment w:val="auto"/>
        <w:rPr>
          <w:rFonts w:hint="eastAsia" w:ascii="宋体" w:hAnsi="宋体" w:eastAsia="宋体" w:cs="宋体"/>
          <w:b/>
          <w:bCs/>
          <w:sz w:val="24"/>
          <w:szCs w:val="24"/>
        </w:rPr>
      </w:pPr>
      <w:r>
        <w:rPr>
          <w:rFonts w:hint="eastAsia" w:ascii="宋体" w:hAnsi="宋体" w:eastAsia="宋体" w:cs="宋体"/>
          <w:b/>
          <w:bCs/>
          <w:sz w:val="24"/>
          <w:szCs w:val="24"/>
        </w:rPr>
        <w:t>（一）收费标准</w:t>
      </w:r>
    </w:p>
    <w:tbl>
      <w:tblPr>
        <w:tblStyle w:val="4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99"/>
        <w:gridCol w:w="3758"/>
        <w:gridCol w:w="2415"/>
        <w:gridCol w:w="1550"/>
      </w:tblGrid>
      <w:tr w14:paraId="497A30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9" w:type="dxa"/>
            <w:vAlign w:val="center"/>
          </w:tcPr>
          <w:p w14:paraId="172915AF">
            <w:pPr>
              <w:keepNext/>
              <w:keepLines/>
              <w:pageBreakBefore w:val="0"/>
              <w:widowControl w:val="0"/>
              <w:numPr>
                <w:ilvl w:val="0"/>
                <w:numId w:val="0"/>
              </w:numPr>
              <w:kinsoku/>
              <w:wordWrap/>
              <w:overflowPunct/>
              <w:topLinePunct w:val="0"/>
              <w:autoSpaceDE/>
              <w:autoSpaceDN/>
              <w:bidi w:val="0"/>
              <w:adjustRightInd/>
              <w:snapToGrid/>
              <w:spacing w:before="0" w:after="0" w:line="360" w:lineRule="auto"/>
              <w:jc w:val="center"/>
              <w:textAlignment w:val="auto"/>
              <w:outlineLvl w:val="9"/>
              <w:rPr>
                <w:rFonts w:hint="eastAsia" w:ascii="宋体" w:hAnsi="宋体" w:eastAsia="宋体" w:cs="宋体"/>
                <w:b w:val="0"/>
                <w:bCs/>
                <w:sz w:val="21"/>
                <w:szCs w:val="21"/>
                <w:highlight w:val="none"/>
                <w:vertAlign w:val="baseline"/>
                <w:lang w:eastAsia="zh-CN"/>
              </w:rPr>
            </w:pPr>
            <w:r>
              <w:rPr>
                <w:rFonts w:hint="eastAsia" w:ascii="宋体" w:hAnsi="宋体" w:eastAsia="宋体" w:cs="宋体"/>
                <w:b w:val="0"/>
                <w:bCs/>
                <w:sz w:val="21"/>
                <w:szCs w:val="21"/>
                <w:highlight w:val="none"/>
                <w:vertAlign w:val="baseline"/>
                <w:lang w:val="en-US" w:eastAsia="zh-CN"/>
              </w:rPr>
              <w:t>序</w:t>
            </w:r>
            <w:r>
              <w:rPr>
                <w:rFonts w:hint="eastAsia" w:ascii="宋体" w:hAnsi="宋体" w:eastAsia="宋体" w:cs="宋体"/>
                <w:b w:val="0"/>
                <w:bCs/>
                <w:sz w:val="21"/>
                <w:szCs w:val="21"/>
                <w:highlight w:val="none"/>
                <w:vertAlign w:val="baseline"/>
                <w:lang w:eastAsia="zh-CN"/>
              </w:rPr>
              <w:t>号</w:t>
            </w:r>
          </w:p>
        </w:tc>
        <w:tc>
          <w:tcPr>
            <w:tcW w:w="3758" w:type="dxa"/>
            <w:vAlign w:val="center"/>
          </w:tcPr>
          <w:p w14:paraId="0482E74B">
            <w:pPr>
              <w:keepNext/>
              <w:keepLines/>
              <w:pageBreakBefore w:val="0"/>
              <w:widowControl w:val="0"/>
              <w:numPr>
                <w:ilvl w:val="0"/>
                <w:numId w:val="0"/>
              </w:numPr>
              <w:kinsoku/>
              <w:wordWrap/>
              <w:overflowPunct/>
              <w:topLinePunct w:val="0"/>
              <w:autoSpaceDE/>
              <w:autoSpaceDN/>
              <w:bidi w:val="0"/>
              <w:adjustRightInd/>
              <w:snapToGrid/>
              <w:spacing w:before="0" w:after="0" w:line="360" w:lineRule="auto"/>
              <w:ind w:firstLine="420" w:firstLineChars="200"/>
              <w:jc w:val="center"/>
              <w:textAlignment w:val="auto"/>
              <w:outlineLvl w:val="9"/>
              <w:rPr>
                <w:rFonts w:hint="eastAsia" w:ascii="宋体" w:hAnsi="宋体" w:eastAsia="宋体" w:cs="宋体"/>
                <w:b w:val="0"/>
                <w:bCs/>
                <w:sz w:val="21"/>
                <w:szCs w:val="21"/>
                <w:highlight w:val="none"/>
                <w:vertAlign w:val="baseline"/>
                <w:lang w:eastAsia="zh-CN"/>
              </w:rPr>
            </w:pPr>
            <w:r>
              <w:rPr>
                <w:rFonts w:hint="eastAsia" w:ascii="宋体" w:hAnsi="宋体" w:eastAsia="宋体" w:cs="宋体"/>
                <w:b w:val="0"/>
                <w:bCs/>
                <w:sz w:val="21"/>
                <w:szCs w:val="21"/>
                <w:highlight w:val="none"/>
                <w:vertAlign w:val="baseline"/>
                <w:lang w:eastAsia="zh-CN"/>
              </w:rPr>
              <w:t>项目内容</w:t>
            </w:r>
          </w:p>
        </w:tc>
        <w:tc>
          <w:tcPr>
            <w:tcW w:w="2415" w:type="dxa"/>
            <w:vAlign w:val="center"/>
          </w:tcPr>
          <w:p w14:paraId="405F12BA">
            <w:pPr>
              <w:keepNext/>
              <w:keepLines/>
              <w:pageBreakBefore w:val="0"/>
              <w:widowControl w:val="0"/>
              <w:numPr>
                <w:ilvl w:val="0"/>
                <w:numId w:val="0"/>
              </w:numPr>
              <w:kinsoku/>
              <w:wordWrap/>
              <w:overflowPunct/>
              <w:topLinePunct w:val="0"/>
              <w:autoSpaceDE/>
              <w:autoSpaceDN/>
              <w:bidi w:val="0"/>
              <w:adjustRightInd/>
              <w:snapToGrid/>
              <w:spacing w:before="0" w:after="0" w:line="360" w:lineRule="auto"/>
              <w:jc w:val="center"/>
              <w:textAlignment w:val="auto"/>
              <w:outlineLvl w:val="9"/>
              <w:rPr>
                <w:rFonts w:hint="eastAsia" w:ascii="宋体" w:hAnsi="宋体" w:eastAsia="宋体" w:cs="宋体"/>
                <w:b w:val="0"/>
                <w:bCs/>
                <w:sz w:val="21"/>
                <w:szCs w:val="21"/>
                <w:highlight w:val="none"/>
                <w:vertAlign w:val="baseline"/>
                <w:lang w:eastAsia="zh-CN"/>
              </w:rPr>
            </w:pPr>
            <w:r>
              <w:rPr>
                <w:rFonts w:hint="eastAsia" w:ascii="宋体" w:hAnsi="宋体" w:eastAsia="宋体" w:cs="宋体"/>
                <w:b w:val="0"/>
                <w:bCs/>
                <w:sz w:val="21"/>
                <w:szCs w:val="21"/>
                <w:highlight w:val="none"/>
                <w:vertAlign w:val="baseline"/>
                <w:lang w:eastAsia="zh-CN"/>
              </w:rPr>
              <w:t>平日最高限价</w:t>
            </w:r>
          </w:p>
        </w:tc>
        <w:tc>
          <w:tcPr>
            <w:tcW w:w="1550" w:type="dxa"/>
            <w:vAlign w:val="center"/>
          </w:tcPr>
          <w:p w14:paraId="04E9C956">
            <w:pPr>
              <w:keepNext/>
              <w:keepLines/>
              <w:pageBreakBefore w:val="0"/>
              <w:widowControl w:val="0"/>
              <w:numPr>
                <w:ilvl w:val="0"/>
                <w:numId w:val="0"/>
              </w:numPr>
              <w:kinsoku/>
              <w:wordWrap/>
              <w:overflowPunct/>
              <w:topLinePunct w:val="0"/>
              <w:autoSpaceDE/>
              <w:autoSpaceDN/>
              <w:bidi w:val="0"/>
              <w:adjustRightInd/>
              <w:snapToGrid/>
              <w:spacing w:before="0" w:after="0" w:line="360" w:lineRule="auto"/>
              <w:jc w:val="center"/>
              <w:textAlignment w:val="auto"/>
              <w:outlineLvl w:val="9"/>
              <w:rPr>
                <w:rFonts w:hint="eastAsia" w:ascii="宋体" w:hAnsi="宋体" w:eastAsia="宋体" w:cs="宋体"/>
                <w:b w:val="0"/>
                <w:bCs/>
                <w:sz w:val="21"/>
                <w:szCs w:val="21"/>
                <w:highlight w:val="none"/>
                <w:vertAlign w:val="baseline"/>
                <w:lang w:eastAsia="zh-CN"/>
              </w:rPr>
            </w:pPr>
            <w:r>
              <w:rPr>
                <w:rFonts w:hint="eastAsia" w:ascii="宋体" w:hAnsi="宋体" w:eastAsia="宋体" w:cs="宋体"/>
                <w:b w:val="0"/>
                <w:bCs/>
                <w:sz w:val="21"/>
                <w:szCs w:val="21"/>
                <w:highlight w:val="none"/>
                <w:vertAlign w:val="baseline"/>
                <w:lang w:eastAsia="zh-CN"/>
              </w:rPr>
              <w:t>备注</w:t>
            </w:r>
          </w:p>
        </w:tc>
      </w:tr>
      <w:tr w14:paraId="6A0F66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9" w:type="dxa"/>
            <w:vAlign w:val="center"/>
          </w:tcPr>
          <w:p w14:paraId="642E4DDC">
            <w:pPr>
              <w:keepNext/>
              <w:keepLines/>
              <w:pageBreakBefore w:val="0"/>
              <w:widowControl w:val="0"/>
              <w:numPr>
                <w:ilvl w:val="0"/>
                <w:numId w:val="0"/>
              </w:numPr>
              <w:kinsoku/>
              <w:wordWrap/>
              <w:overflowPunct/>
              <w:topLinePunct w:val="0"/>
              <w:autoSpaceDE/>
              <w:autoSpaceDN/>
              <w:bidi w:val="0"/>
              <w:adjustRightInd/>
              <w:snapToGrid/>
              <w:spacing w:before="0" w:after="0" w:line="360" w:lineRule="auto"/>
              <w:jc w:val="center"/>
              <w:textAlignment w:val="auto"/>
              <w:outlineLvl w:val="9"/>
              <w:rPr>
                <w:rFonts w:hint="eastAsia" w:ascii="宋体" w:hAnsi="宋体" w:eastAsia="宋体" w:cs="宋体"/>
                <w:b w:val="0"/>
                <w:bCs/>
                <w:sz w:val="21"/>
                <w:szCs w:val="21"/>
                <w:highlight w:val="none"/>
                <w:vertAlign w:val="baseline"/>
                <w:lang w:val="en-US" w:eastAsia="zh-CN"/>
              </w:rPr>
            </w:pPr>
            <w:r>
              <w:rPr>
                <w:rFonts w:hint="eastAsia" w:ascii="宋体" w:hAnsi="宋体" w:eastAsia="宋体" w:cs="宋体"/>
                <w:b w:val="0"/>
                <w:bCs/>
                <w:sz w:val="21"/>
                <w:szCs w:val="21"/>
                <w:highlight w:val="none"/>
                <w:vertAlign w:val="baseline"/>
                <w:lang w:val="en-US" w:eastAsia="zh-CN"/>
              </w:rPr>
              <w:t>1</w:t>
            </w:r>
          </w:p>
        </w:tc>
        <w:tc>
          <w:tcPr>
            <w:tcW w:w="3758" w:type="dxa"/>
            <w:vAlign w:val="center"/>
          </w:tcPr>
          <w:p w14:paraId="1CA7DAAB">
            <w:pPr>
              <w:keepNext/>
              <w:keepLines/>
              <w:pageBreakBefore w:val="0"/>
              <w:widowControl w:val="0"/>
              <w:numPr>
                <w:ilvl w:val="0"/>
                <w:numId w:val="0"/>
              </w:numPr>
              <w:kinsoku/>
              <w:wordWrap/>
              <w:overflowPunct/>
              <w:topLinePunct w:val="0"/>
              <w:autoSpaceDE/>
              <w:autoSpaceDN/>
              <w:bidi w:val="0"/>
              <w:adjustRightInd/>
              <w:snapToGrid/>
              <w:spacing w:before="0" w:after="0" w:line="360" w:lineRule="auto"/>
              <w:jc w:val="center"/>
              <w:textAlignment w:val="auto"/>
              <w:outlineLvl w:val="9"/>
              <w:rPr>
                <w:rFonts w:hint="eastAsia" w:ascii="宋体" w:hAnsi="宋体" w:eastAsia="宋体" w:cs="宋体"/>
                <w:b w:val="0"/>
                <w:bCs/>
                <w:sz w:val="21"/>
                <w:szCs w:val="21"/>
                <w:highlight w:val="none"/>
                <w:vertAlign w:val="baseline"/>
                <w:lang w:eastAsia="zh-CN"/>
              </w:rPr>
            </w:pPr>
            <w:r>
              <w:rPr>
                <w:rFonts w:hint="eastAsia" w:ascii="宋体" w:hAnsi="宋体" w:eastAsia="宋体" w:cs="宋体"/>
                <w:b w:val="0"/>
                <w:bCs/>
                <w:sz w:val="21"/>
                <w:szCs w:val="21"/>
                <w:highlight w:val="none"/>
                <w:vertAlign w:val="baseline"/>
                <w:lang w:eastAsia="zh-CN"/>
              </w:rPr>
              <w:t>一对一</w:t>
            </w:r>
          </w:p>
        </w:tc>
        <w:tc>
          <w:tcPr>
            <w:tcW w:w="2415" w:type="dxa"/>
            <w:vAlign w:val="center"/>
          </w:tcPr>
          <w:p w14:paraId="69AA59BA">
            <w:pPr>
              <w:keepNext/>
              <w:keepLines/>
              <w:pageBreakBefore w:val="0"/>
              <w:widowControl w:val="0"/>
              <w:numPr>
                <w:ilvl w:val="0"/>
                <w:numId w:val="0"/>
              </w:numPr>
              <w:kinsoku/>
              <w:wordWrap/>
              <w:overflowPunct/>
              <w:topLinePunct w:val="0"/>
              <w:autoSpaceDE/>
              <w:autoSpaceDN/>
              <w:bidi w:val="0"/>
              <w:adjustRightInd/>
              <w:snapToGrid/>
              <w:spacing w:before="0" w:after="0" w:line="360" w:lineRule="auto"/>
              <w:jc w:val="center"/>
              <w:textAlignment w:val="auto"/>
              <w:outlineLvl w:val="9"/>
              <w:rPr>
                <w:rFonts w:hint="eastAsia" w:ascii="宋体" w:hAnsi="宋体" w:eastAsia="宋体" w:cs="宋体"/>
                <w:b w:val="0"/>
                <w:bCs/>
                <w:sz w:val="21"/>
                <w:szCs w:val="21"/>
                <w:highlight w:val="none"/>
                <w:vertAlign w:val="baseline"/>
                <w:lang w:val="en-US" w:eastAsia="zh-CN"/>
              </w:rPr>
            </w:pPr>
            <w:r>
              <w:rPr>
                <w:rFonts w:hint="eastAsia" w:ascii="宋体" w:hAnsi="宋体" w:eastAsia="宋体" w:cs="宋体"/>
                <w:b w:val="0"/>
                <w:bCs/>
                <w:sz w:val="21"/>
                <w:szCs w:val="21"/>
                <w:highlight w:val="none"/>
                <w:vertAlign w:val="baseline"/>
                <w:lang w:val="en-US" w:eastAsia="zh-CN"/>
              </w:rPr>
              <w:t>280元/人/天</w:t>
            </w:r>
          </w:p>
        </w:tc>
        <w:tc>
          <w:tcPr>
            <w:tcW w:w="1550" w:type="dxa"/>
            <w:vMerge w:val="restart"/>
            <w:vAlign w:val="center"/>
          </w:tcPr>
          <w:p w14:paraId="2FFC3FBE">
            <w:pPr>
              <w:keepNext/>
              <w:keepLines/>
              <w:pageBreakBefore w:val="0"/>
              <w:widowControl w:val="0"/>
              <w:numPr>
                <w:ilvl w:val="0"/>
                <w:numId w:val="0"/>
              </w:numPr>
              <w:kinsoku/>
              <w:wordWrap/>
              <w:overflowPunct/>
              <w:topLinePunct w:val="0"/>
              <w:autoSpaceDE/>
              <w:autoSpaceDN/>
              <w:bidi w:val="0"/>
              <w:adjustRightInd/>
              <w:snapToGrid/>
              <w:spacing w:before="0" w:after="0" w:line="360" w:lineRule="auto"/>
              <w:jc w:val="center"/>
              <w:textAlignment w:val="auto"/>
              <w:outlineLvl w:val="9"/>
              <w:rPr>
                <w:rFonts w:hint="default" w:ascii="宋体" w:hAnsi="宋体" w:eastAsia="宋体" w:cs="宋体"/>
                <w:b w:val="0"/>
                <w:bCs/>
                <w:i/>
                <w:iCs/>
                <w:sz w:val="21"/>
                <w:szCs w:val="21"/>
                <w:highlight w:val="none"/>
                <w:vertAlign w:val="baseline"/>
                <w:lang w:val="en-US" w:eastAsia="zh-CN"/>
              </w:rPr>
            </w:pPr>
            <w:r>
              <w:rPr>
                <w:rFonts w:hint="eastAsia" w:ascii="宋体" w:hAnsi="宋体" w:eastAsia="宋体" w:cs="宋体"/>
                <w:b w:val="0"/>
                <w:bCs/>
                <w:sz w:val="21"/>
                <w:szCs w:val="21"/>
                <w:highlight w:val="none"/>
                <w:vertAlign w:val="baseline"/>
                <w:lang w:val="en-US" w:eastAsia="zh-CN"/>
              </w:rPr>
              <w:t>具备医学背景的护理员，在此基础上增加20%收费</w:t>
            </w:r>
          </w:p>
        </w:tc>
      </w:tr>
      <w:tr w14:paraId="4C6262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9" w:type="dxa"/>
            <w:vAlign w:val="center"/>
          </w:tcPr>
          <w:p w14:paraId="7CAC06B3">
            <w:pPr>
              <w:keepNext/>
              <w:keepLines/>
              <w:pageBreakBefore w:val="0"/>
              <w:widowControl w:val="0"/>
              <w:numPr>
                <w:ilvl w:val="0"/>
                <w:numId w:val="0"/>
              </w:numPr>
              <w:kinsoku/>
              <w:wordWrap/>
              <w:overflowPunct/>
              <w:topLinePunct w:val="0"/>
              <w:autoSpaceDE/>
              <w:autoSpaceDN/>
              <w:bidi w:val="0"/>
              <w:adjustRightInd/>
              <w:snapToGrid/>
              <w:spacing w:before="0" w:after="0" w:line="360" w:lineRule="auto"/>
              <w:jc w:val="center"/>
              <w:textAlignment w:val="auto"/>
              <w:outlineLvl w:val="9"/>
              <w:rPr>
                <w:rFonts w:hint="eastAsia" w:ascii="宋体" w:hAnsi="宋体" w:eastAsia="宋体" w:cs="宋体"/>
                <w:b w:val="0"/>
                <w:bCs/>
                <w:sz w:val="21"/>
                <w:szCs w:val="21"/>
                <w:highlight w:val="none"/>
                <w:vertAlign w:val="baseline"/>
                <w:lang w:val="en-US" w:eastAsia="zh-CN"/>
              </w:rPr>
            </w:pPr>
            <w:r>
              <w:rPr>
                <w:rFonts w:hint="eastAsia" w:ascii="宋体" w:hAnsi="宋体" w:eastAsia="宋体" w:cs="宋体"/>
                <w:b w:val="0"/>
                <w:bCs/>
                <w:sz w:val="21"/>
                <w:szCs w:val="21"/>
                <w:highlight w:val="none"/>
                <w:vertAlign w:val="baseline"/>
                <w:lang w:val="en-US" w:eastAsia="zh-CN"/>
              </w:rPr>
              <w:t>2</w:t>
            </w:r>
          </w:p>
        </w:tc>
        <w:tc>
          <w:tcPr>
            <w:tcW w:w="3758" w:type="dxa"/>
            <w:vAlign w:val="center"/>
          </w:tcPr>
          <w:p w14:paraId="1F3E1086">
            <w:pPr>
              <w:keepNext/>
              <w:keepLines/>
              <w:pageBreakBefore w:val="0"/>
              <w:widowControl w:val="0"/>
              <w:numPr>
                <w:ilvl w:val="0"/>
                <w:numId w:val="0"/>
              </w:numPr>
              <w:kinsoku/>
              <w:wordWrap/>
              <w:overflowPunct/>
              <w:topLinePunct w:val="0"/>
              <w:autoSpaceDE/>
              <w:autoSpaceDN/>
              <w:bidi w:val="0"/>
              <w:adjustRightInd/>
              <w:snapToGrid/>
              <w:spacing w:before="0" w:after="0" w:line="360" w:lineRule="auto"/>
              <w:jc w:val="center"/>
              <w:textAlignment w:val="auto"/>
              <w:outlineLvl w:val="9"/>
              <w:rPr>
                <w:rFonts w:hint="eastAsia" w:ascii="宋体" w:hAnsi="宋体" w:eastAsia="宋体" w:cs="宋体"/>
                <w:b w:val="0"/>
                <w:bCs/>
                <w:sz w:val="21"/>
                <w:szCs w:val="21"/>
                <w:highlight w:val="none"/>
                <w:vertAlign w:val="baseline"/>
              </w:rPr>
            </w:pPr>
            <w:r>
              <w:rPr>
                <w:rFonts w:hint="eastAsia" w:ascii="宋体" w:hAnsi="宋体" w:eastAsia="宋体" w:cs="宋体"/>
                <w:b w:val="0"/>
                <w:bCs/>
                <w:sz w:val="21"/>
                <w:szCs w:val="21"/>
                <w:highlight w:val="none"/>
                <w:vertAlign w:val="baseline"/>
                <w:lang w:eastAsia="zh-CN"/>
              </w:rPr>
              <w:t>一对二</w:t>
            </w:r>
          </w:p>
        </w:tc>
        <w:tc>
          <w:tcPr>
            <w:tcW w:w="2415" w:type="dxa"/>
            <w:vAlign w:val="center"/>
          </w:tcPr>
          <w:p w14:paraId="1FB4BA36">
            <w:pPr>
              <w:keepNext/>
              <w:keepLines/>
              <w:pageBreakBefore w:val="0"/>
              <w:widowControl w:val="0"/>
              <w:numPr>
                <w:ilvl w:val="0"/>
                <w:numId w:val="0"/>
              </w:numPr>
              <w:kinsoku/>
              <w:wordWrap/>
              <w:overflowPunct/>
              <w:topLinePunct w:val="0"/>
              <w:autoSpaceDE/>
              <w:autoSpaceDN/>
              <w:bidi w:val="0"/>
              <w:adjustRightInd/>
              <w:snapToGrid/>
              <w:spacing w:before="0" w:after="0" w:line="360" w:lineRule="auto"/>
              <w:jc w:val="center"/>
              <w:textAlignment w:val="auto"/>
              <w:outlineLvl w:val="9"/>
              <w:rPr>
                <w:rFonts w:hint="eastAsia" w:ascii="宋体" w:hAnsi="宋体" w:eastAsia="宋体" w:cs="宋体"/>
                <w:b w:val="0"/>
                <w:bCs/>
                <w:sz w:val="21"/>
                <w:szCs w:val="21"/>
                <w:highlight w:val="none"/>
                <w:vertAlign w:val="baseline"/>
              </w:rPr>
            </w:pPr>
            <w:r>
              <w:rPr>
                <w:rFonts w:hint="eastAsia" w:ascii="宋体" w:hAnsi="宋体" w:eastAsia="宋体" w:cs="宋体"/>
                <w:b w:val="0"/>
                <w:bCs/>
                <w:sz w:val="21"/>
                <w:szCs w:val="21"/>
                <w:highlight w:val="none"/>
                <w:vertAlign w:val="baseline"/>
                <w:lang w:val="en-US" w:eastAsia="zh-CN"/>
              </w:rPr>
              <w:t>180元/人/天</w:t>
            </w:r>
          </w:p>
        </w:tc>
        <w:tc>
          <w:tcPr>
            <w:tcW w:w="1550" w:type="dxa"/>
            <w:vMerge w:val="continue"/>
            <w:vAlign w:val="center"/>
          </w:tcPr>
          <w:p w14:paraId="31A977AD">
            <w:pPr>
              <w:keepNext/>
              <w:keepLines/>
              <w:pageBreakBefore w:val="0"/>
              <w:widowControl w:val="0"/>
              <w:numPr>
                <w:ilvl w:val="0"/>
                <w:numId w:val="0"/>
              </w:numPr>
              <w:kinsoku/>
              <w:wordWrap/>
              <w:overflowPunct/>
              <w:topLinePunct w:val="0"/>
              <w:autoSpaceDE/>
              <w:autoSpaceDN/>
              <w:bidi w:val="0"/>
              <w:adjustRightInd/>
              <w:snapToGrid/>
              <w:spacing w:before="0" w:after="0" w:line="360" w:lineRule="auto"/>
              <w:jc w:val="center"/>
              <w:textAlignment w:val="auto"/>
              <w:outlineLvl w:val="9"/>
              <w:rPr>
                <w:rFonts w:hint="eastAsia" w:ascii="宋体" w:hAnsi="宋体" w:eastAsia="宋体" w:cs="宋体"/>
                <w:b w:val="0"/>
                <w:bCs/>
                <w:i/>
                <w:iCs/>
                <w:sz w:val="21"/>
                <w:szCs w:val="21"/>
                <w:highlight w:val="none"/>
                <w:vertAlign w:val="baseline"/>
              </w:rPr>
            </w:pPr>
          </w:p>
        </w:tc>
      </w:tr>
      <w:tr w14:paraId="45D555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9" w:type="dxa"/>
            <w:vAlign w:val="center"/>
          </w:tcPr>
          <w:p w14:paraId="43ECB1F8">
            <w:pPr>
              <w:keepNext/>
              <w:keepLines/>
              <w:pageBreakBefore w:val="0"/>
              <w:widowControl w:val="0"/>
              <w:numPr>
                <w:ilvl w:val="0"/>
                <w:numId w:val="0"/>
              </w:numPr>
              <w:kinsoku/>
              <w:wordWrap/>
              <w:overflowPunct/>
              <w:topLinePunct w:val="0"/>
              <w:autoSpaceDE/>
              <w:autoSpaceDN/>
              <w:bidi w:val="0"/>
              <w:adjustRightInd/>
              <w:snapToGrid/>
              <w:spacing w:before="0" w:after="0" w:line="360" w:lineRule="auto"/>
              <w:jc w:val="center"/>
              <w:textAlignment w:val="auto"/>
              <w:outlineLvl w:val="9"/>
              <w:rPr>
                <w:rFonts w:hint="eastAsia" w:ascii="宋体" w:hAnsi="宋体" w:eastAsia="宋体" w:cs="宋体"/>
                <w:b w:val="0"/>
                <w:bCs/>
                <w:sz w:val="21"/>
                <w:szCs w:val="21"/>
                <w:highlight w:val="none"/>
                <w:vertAlign w:val="baseline"/>
                <w:lang w:val="en-US" w:eastAsia="zh-CN"/>
              </w:rPr>
            </w:pPr>
            <w:r>
              <w:rPr>
                <w:rFonts w:hint="eastAsia" w:ascii="宋体" w:hAnsi="宋体" w:eastAsia="宋体" w:cs="宋体"/>
                <w:b w:val="0"/>
                <w:bCs/>
                <w:sz w:val="21"/>
                <w:szCs w:val="21"/>
                <w:highlight w:val="none"/>
                <w:vertAlign w:val="baseline"/>
                <w:lang w:val="en-US" w:eastAsia="zh-CN"/>
              </w:rPr>
              <w:t>3</w:t>
            </w:r>
          </w:p>
        </w:tc>
        <w:tc>
          <w:tcPr>
            <w:tcW w:w="3758" w:type="dxa"/>
            <w:vAlign w:val="center"/>
          </w:tcPr>
          <w:p w14:paraId="180EE17D">
            <w:pPr>
              <w:keepNext/>
              <w:keepLines/>
              <w:pageBreakBefore w:val="0"/>
              <w:widowControl w:val="0"/>
              <w:numPr>
                <w:ilvl w:val="0"/>
                <w:numId w:val="0"/>
              </w:numPr>
              <w:kinsoku/>
              <w:wordWrap/>
              <w:overflowPunct/>
              <w:topLinePunct w:val="0"/>
              <w:autoSpaceDE/>
              <w:autoSpaceDN/>
              <w:bidi w:val="0"/>
              <w:adjustRightInd/>
              <w:snapToGrid/>
              <w:spacing w:before="0" w:after="0" w:line="360" w:lineRule="auto"/>
              <w:jc w:val="center"/>
              <w:textAlignment w:val="auto"/>
              <w:outlineLvl w:val="9"/>
              <w:rPr>
                <w:rFonts w:hint="eastAsia" w:ascii="宋体" w:hAnsi="宋体" w:eastAsia="宋体" w:cs="宋体"/>
                <w:b w:val="0"/>
                <w:bCs/>
                <w:sz w:val="21"/>
                <w:szCs w:val="21"/>
                <w:highlight w:val="none"/>
                <w:vertAlign w:val="baseline"/>
                <w:lang w:val="en-US"/>
              </w:rPr>
            </w:pPr>
            <w:r>
              <w:rPr>
                <w:rFonts w:hint="eastAsia" w:ascii="宋体" w:hAnsi="宋体" w:eastAsia="宋体" w:cs="宋体"/>
                <w:b w:val="0"/>
                <w:bCs/>
                <w:sz w:val="21"/>
                <w:szCs w:val="21"/>
                <w:highlight w:val="none"/>
                <w:vertAlign w:val="baseline"/>
                <w:lang w:eastAsia="zh-CN"/>
              </w:rPr>
              <w:t>一对</w:t>
            </w:r>
            <w:r>
              <w:rPr>
                <w:rFonts w:hint="eastAsia" w:ascii="宋体" w:hAnsi="宋体" w:eastAsia="宋体" w:cs="宋体"/>
                <w:b w:val="0"/>
                <w:bCs/>
                <w:sz w:val="21"/>
                <w:szCs w:val="21"/>
                <w:highlight w:val="none"/>
                <w:vertAlign w:val="baseline"/>
                <w:lang w:val="en-US" w:eastAsia="zh-CN"/>
              </w:rPr>
              <w:t>三</w:t>
            </w:r>
          </w:p>
        </w:tc>
        <w:tc>
          <w:tcPr>
            <w:tcW w:w="2415" w:type="dxa"/>
            <w:vAlign w:val="center"/>
          </w:tcPr>
          <w:p w14:paraId="36A71425">
            <w:pPr>
              <w:keepNext/>
              <w:keepLines/>
              <w:pageBreakBefore w:val="0"/>
              <w:widowControl w:val="0"/>
              <w:numPr>
                <w:ilvl w:val="0"/>
                <w:numId w:val="0"/>
              </w:numPr>
              <w:kinsoku/>
              <w:wordWrap/>
              <w:overflowPunct/>
              <w:topLinePunct w:val="0"/>
              <w:autoSpaceDE/>
              <w:autoSpaceDN/>
              <w:bidi w:val="0"/>
              <w:adjustRightInd/>
              <w:snapToGrid/>
              <w:spacing w:before="0" w:after="0" w:line="360" w:lineRule="auto"/>
              <w:jc w:val="center"/>
              <w:textAlignment w:val="auto"/>
              <w:outlineLvl w:val="9"/>
              <w:rPr>
                <w:rFonts w:hint="eastAsia" w:ascii="宋体" w:hAnsi="宋体" w:eastAsia="宋体" w:cs="宋体"/>
                <w:b w:val="0"/>
                <w:bCs/>
                <w:sz w:val="21"/>
                <w:szCs w:val="21"/>
                <w:highlight w:val="none"/>
                <w:vertAlign w:val="baseline"/>
              </w:rPr>
            </w:pPr>
            <w:r>
              <w:rPr>
                <w:rFonts w:hint="eastAsia" w:ascii="宋体" w:hAnsi="宋体" w:eastAsia="宋体" w:cs="宋体"/>
                <w:b w:val="0"/>
                <w:bCs/>
                <w:sz w:val="21"/>
                <w:szCs w:val="21"/>
                <w:highlight w:val="none"/>
                <w:vertAlign w:val="baseline"/>
                <w:lang w:val="en-US" w:eastAsia="zh-CN"/>
              </w:rPr>
              <w:t>140元/人/天</w:t>
            </w:r>
          </w:p>
        </w:tc>
        <w:tc>
          <w:tcPr>
            <w:tcW w:w="1550" w:type="dxa"/>
            <w:vMerge w:val="continue"/>
            <w:vAlign w:val="center"/>
          </w:tcPr>
          <w:p w14:paraId="369C5195">
            <w:pPr>
              <w:keepNext/>
              <w:keepLines/>
              <w:pageBreakBefore w:val="0"/>
              <w:widowControl w:val="0"/>
              <w:numPr>
                <w:ilvl w:val="0"/>
                <w:numId w:val="0"/>
              </w:numPr>
              <w:kinsoku/>
              <w:wordWrap/>
              <w:overflowPunct/>
              <w:topLinePunct w:val="0"/>
              <w:autoSpaceDE/>
              <w:autoSpaceDN/>
              <w:bidi w:val="0"/>
              <w:adjustRightInd/>
              <w:snapToGrid/>
              <w:spacing w:before="0" w:after="0" w:line="360" w:lineRule="auto"/>
              <w:jc w:val="center"/>
              <w:textAlignment w:val="auto"/>
              <w:outlineLvl w:val="9"/>
              <w:rPr>
                <w:rFonts w:hint="eastAsia" w:ascii="宋体" w:hAnsi="宋体" w:eastAsia="宋体" w:cs="宋体"/>
                <w:b w:val="0"/>
                <w:bCs/>
                <w:i/>
                <w:iCs/>
                <w:sz w:val="21"/>
                <w:szCs w:val="21"/>
                <w:highlight w:val="none"/>
                <w:vertAlign w:val="baseline"/>
              </w:rPr>
            </w:pPr>
          </w:p>
        </w:tc>
      </w:tr>
      <w:tr w14:paraId="7B56BC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9" w:type="dxa"/>
            <w:vAlign w:val="center"/>
          </w:tcPr>
          <w:p w14:paraId="5B797EC5">
            <w:pPr>
              <w:keepNext/>
              <w:keepLines/>
              <w:pageBreakBefore w:val="0"/>
              <w:widowControl w:val="0"/>
              <w:numPr>
                <w:ilvl w:val="0"/>
                <w:numId w:val="0"/>
              </w:numPr>
              <w:kinsoku/>
              <w:wordWrap/>
              <w:overflowPunct/>
              <w:topLinePunct w:val="0"/>
              <w:autoSpaceDE/>
              <w:autoSpaceDN/>
              <w:bidi w:val="0"/>
              <w:adjustRightInd/>
              <w:snapToGrid/>
              <w:spacing w:before="0" w:after="0" w:line="360" w:lineRule="auto"/>
              <w:jc w:val="center"/>
              <w:textAlignment w:val="auto"/>
              <w:outlineLvl w:val="9"/>
              <w:rPr>
                <w:rFonts w:hint="eastAsia" w:ascii="宋体" w:hAnsi="宋体" w:eastAsia="宋体" w:cs="宋体"/>
                <w:b w:val="0"/>
                <w:bCs/>
                <w:sz w:val="21"/>
                <w:szCs w:val="21"/>
                <w:highlight w:val="none"/>
                <w:vertAlign w:val="baseline"/>
                <w:lang w:val="en-US" w:eastAsia="zh-CN"/>
              </w:rPr>
            </w:pPr>
            <w:r>
              <w:rPr>
                <w:rFonts w:hint="eastAsia" w:ascii="宋体" w:hAnsi="宋体" w:eastAsia="宋体" w:cs="宋体"/>
                <w:b w:val="0"/>
                <w:bCs/>
                <w:sz w:val="21"/>
                <w:szCs w:val="21"/>
                <w:highlight w:val="none"/>
                <w:vertAlign w:val="baseline"/>
                <w:lang w:val="en-US" w:eastAsia="zh-CN"/>
              </w:rPr>
              <w:t>4</w:t>
            </w:r>
          </w:p>
        </w:tc>
        <w:tc>
          <w:tcPr>
            <w:tcW w:w="3758" w:type="dxa"/>
            <w:vAlign w:val="center"/>
          </w:tcPr>
          <w:p w14:paraId="7C1A5321">
            <w:pPr>
              <w:keepNext/>
              <w:keepLines/>
              <w:pageBreakBefore w:val="0"/>
              <w:widowControl w:val="0"/>
              <w:numPr>
                <w:ilvl w:val="0"/>
                <w:numId w:val="0"/>
              </w:numPr>
              <w:kinsoku/>
              <w:wordWrap/>
              <w:overflowPunct/>
              <w:topLinePunct w:val="0"/>
              <w:autoSpaceDE/>
              <w:autoSpaceDN/>
              <w:bidi w:val="0"/>
              <w:adjustRightInd/>
              <w:snapToGrid/>
              <w:spacing w:before="0" w:after="0" w:line="360" w:lineRule="auto"/>
              <w:jc w:val="center"/>
              <w:textAlignment w:val="auto"/>
              <w:outlineLvl w:val="9"/>
              <w:rPr>
                <w:rFonts w:hint="eastAsia" w:ascii="宋体" w:hAnsi="宋体" w:eastAsia="宋体" w:cs="宋体"/>
                <w:b w:val="0"/>
                <w:bCs/>
                <w:sz w:val="21"/>
                <w:szCs w:val="21"/>
                <w:highlight w:val="none"/>
                <w:vertAlign w:val="baseline"/>
                <w:lang w:val="en-US"/>
              </w:rPr>
            </w:pPr>
            <w:r>
              <w:rPr>
                <w:rFonts w:hint="eastAsia" w:ascii="宋体" w:hAnsi="宋体" w:eastAsia="宋体" w:cs="宋体"/>
                <w:b w:val="0"/>
                <w:bCs/>
                <w:sz w:val="21"/>
                <w:szCs w:val="21"/>
                <w:highlight w:val="none"/>
                <w:vertAlign w:val="baseline"/>
                <w:lang w:eastAsia="zh-CN"/>
              </w:rPr>
              <w:t>一对</w:t>
            </w:r>
            <w:r>
              <w:rPr>
                <w:rFonts w:hint="eastAsia" w:ascii="宋体" w:hAnsi="宋体" w:eastAsia="宋体" w:cs="宋体"/>
                <w:b w:val="0"/>
                <w:bCs/>
                <w:sz w:val="21"/>
                <w:szCs w:val="21"/>
                <w:highlight w:val="none"/>
                <w:vertAlign w:val="baseline"/>
                <w:lang w:val="en-US" w:eastAsia="zh-CN"/>
              </w:rPr>
              <w:t>多（小组制）</w:t>
            </w:r>
          </w:p>
        </w:tc>
        <w:tc>
          <w:tcPr>
            <w:tcW w:w="2415" w:type="dxa"/>
            <w:vAlign w:val="center"/>
          </w:tcPr>
          <w:p w14:paraId="0B1C88FE">
            <w:pPr>
              <w:keepNext/>
              <w:keepLines/>
              <w:pageBreakBefore w:val="0"/>
              <w:widowControl w:val="0"/>
              <w:numPr>
                <w:ilvl w:val="0"/>
                <w:numId w:val="0"/>
              </w:numPr>
              <w:kinsoku/>
              <w:wordWrap/>
              <w:overflowPunct/>
              <w:topLinePunct w:val="0"/>
              <w:autoSpaceDE/>
              <w:autoSpaceDN/>
              <w:bidi w:val="0"/>
              <w:adjustRightInd/>
              <w:snapToGrid/>
              <w:spacing w:before="0" w:after="0" w:line="360" w:lineRule="auto"/>
              <w:jc w:val="center"/>
              <w:textAlignment w:val="auto"/>
              <w:outlineLvl w:val="9"/>
              <w:rPr>
                <w:rFonts w:hint="eastAsia" w:ascii="宋体" w:hAnsi="宋体" w:eastAsia="宋体" w:cs="宋体"/>
                <w:b w:val="0"/>
                <w:bCs/>
                <w:sz w:val="21"/>
                <w:szCs w:val="21"/>
                <w:highlight w:val="none"/>
                <w:vertAlign w:val="baseline"/>
              </w:rPr>
            </w:pPr>
            <w:r>
              <w:rPr>
                <w:rFonts w:hint="eastAsia" w:ascii="宋体" w:hAnsi="宋体" w:eastAsia="宋体" w:cs="宋体"/>
                <w:b w:val="0"/>
                <w:bCs/>
                <w:sz w:val="21"/>
                <w:szCs w:val="21"/>
                <w:highlight w:val="none"/>
                <w:vertAlign w:val="baseline"/>
                <w:lang w:val="en-US" w:eastAsia="zh-CN"/>
              </w:rPr>
              <w:t>50-130元/人/天</w:t>
            </w:r>
          </w:p>
        </w:tc>
        <w:tc>
          <w:tcPr>
            <w:tcW w:w="1550" w:type="dxa"/>
            <w:vMerge w:val="continue"/>
            <w:vAlign w:val="center"/>
          </w:tcPr>
          <w:p w14:paraId="3A8A696B">
            <w:pPr>
              <w:keepNext/>
              <w:keepLines/>
              <w:pageBreakBefore w:val="0"/>
              <w:widowControl w:val="0"/>
              <w:numPr>
                <w:ilvl w:val="0"/>
                <w:numId w:val="0"/>
              </w:numPr>
              <w:kinsoku/>
              <w:wordWrap/>
              <w:overflowPunct/>
              <w:topLinePunct w:val="0"/>
              <w:autoSpaceDE/>
              <w:autoSpaceDN/>
              <w:bidi w:val="0"/>
              <w:adjustRightInd/>
              <w:snapToGrid/>
              <w:spacing w:before="0" w:after="0" w:line="360" w:lineRule="auto"/>
              <w:jc w:val="center"/>
              <w:textAlignment w:val="auto"/>
              <w:outlineLvl w:val="9"/>
              <w:rPr>
                <w:rFonts w:hint="eastAsia" w:ascii="宋体" w:hAnsi="宋体" w:eastAsia="宋体" w:cs="宋体"/>
                <w:b w:val="0"/>
                <w:bCs/>
                <w:i/>
                <w:iCs/>
                <w:sz w:val="21"/>
                <w:szCs w:val="21"/>
                <w:highlight w:val="none"/>
                <w:vertAlign w:val="baseline"/>
              </w:rPr>
            </w:pPr>
          </w:p>
        </w:tc>
      </w:tr>
      <w:tr w14:paraId="72F6E7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9" w:type="dxa"/>
            <w:vAlign w:val="center"/>
          </w:tcPr>
          <w:p w14:paraId="6014B7E0">
            <w:pPr>
              <w:keepNext/>
              <w:keepLines/>
              <w:pageBreakBefore w:val="0"/>
              <w:widowControl w:val="0"/>
              <w:numPr>
                <w:ilvl w:val="0"/>
                <w:numId w:val="0"/>
              </w:numPr>
              <w:kinsoku/>
              <w:wordWrap/>
              <w:overflowPunct/>
              <w:topLinePunct w:val="0"/>
              <w:autoSpaceDE/>
              <w:autoSpaceDN/>
              <w:bidi w:val="0"/>
              <w:adjustRightInd/>
              <w:snapToGrid/>
              <w:spacing w:before="0" w:after="0" w:line="360" w:lineRule="auto"/>
              <w:jc w:val="center"/>
              <w:textAlignment w:val="auto"/>
              <w:outlineLvl w:val="9"/>
              <w:rPr>
                <w:rFonts w:hint="default" w:ascii="宋体" w:hAnsi="宋体" w:eastAsia="宋体" w:cs="宋体"/>
                <w:b w:val="0"/>
                <w:bCs/>
                <w:sz w:val="21"/>
                <w:szCs w:val="21"/>
                <w:highlight w:val="none"/>
                <w:vertAlign w:val="baseline"/>
                <w:lang w:val="en-US" w:eastAsia="zh-CN"/>
              </w:rPr>
            </w:pPr>
            <w:r>
              <w:rPr>
                <w:rFonts w:hint="eastAsia" w:ascii="宋体" w:hAnsi="宋体" w:cs="宋体"/>
                <w:b w:val="0"/>
                <w:bCs/>
                <w:sz w:val="21"/>
                <w:szCs w:val="21"/>
                <w:highlight w:val="none"/>
                <w:vertAlign w:val="baseline"/>
                <w:lang w:val="en-US" w:eastAsia="zh-CN"/>
              </w:rPr>
              <w:t>5</w:t>
            </w:r>
          </w:p>
        </w:tc>
        <w:tc>
          <w:tcPr>
            <w:tcW w:w="3758" w:type="dxa"/>
            <w:vAlign w:val="center"/>
          </w:tcPr>
          <w:p w14:paraId="1EC5E441">
            <w:pPr>
              <w:keepNext/>
              <w:keepLines/>
              <w:pageBreakBefore w:val="0"/>
              <w:widowControl w:val="0"/>
              <w:numPr>
                <w:ilvl w:val="0"/>
                <w:numId w:val="0"/>
              </w:numPr>
              <w:kinsoku/>
              <w:wordWrap/>
              <w:overflowPunct/>
              <w:topLinePunct w:val="0"/>
              <w:autoSpaceDE/>
              <w:autoSpaceDN/>
              <w:bidi w:val="0"/>
              <w:adjustRightInd/>
              <w:snapToGrid/>
              <w:spacing w:before="0" w:after="0" w:line="360" w:lineRule="auto"/>
              <w:jc w:val="center"/>
              <w:textAlignment w:val="auto"/>
              <w:outlineLvl w:val="9"/>
              <w:rPr>
                <w:rFonts w:hint="eastAsia" w:ascii="宋体" w:hAnsi="宋体" w:eastAsia="宋体" w:cs="宋体"/>
                <w:b w:val="0"/>
                <w:bCs/>
                <w:sz w:val="21"/>
                <w:szCs w:val="21"/>
                <w:highlight w:val="none"/>
                <w:vertAlign w:val="baseline"/>
                <w:lang w:eastAsia="zh-CN"/>
              </w:rPr>
            </w:pPr>
            <w:r>
              <w:rPr>
                <w:rFonts w:hint="eastAsia" w:ascii="宋体" w:hAnsi="宋体" w:cs="宋体"/>
                <w:b w:val="0"/>
                <w:bCs/>
                <w:sz w:val="21"/>
                <w:szCs w:val="21"/>
                <w:highlight w:val="none"/>
                <w:vertAlign w:val="baseline"/>
                <w:lang w:eastAsia="zh-CN"/>
              </w:rPr>
              <w:t>产科（一对一）</w:t>
            </w:r>
          </w:p>
        </w:tc>
        <w:tc>
          <w:tcPr>
            <w:tcW w:w="2415" w:type="dxa"/>
            <w:vAlign w:val="center"/>
          </w:tcPr>
          <w:p w14:paraId="38735379">
            <w:pPr>
              <w:keepNext/>
              <w:keepLines/>
              <w:pageBreakBefore w:val="0"/>
              <w:widowControl w:val="0"/>
              <w:numPr>
                <w:ilvl w:val="0"/>
                <w:numId w:val="0"/>
              </w:numPr>
              <w:kinsoku/>
              <w:wordWrap/>
              <w:overflowPunct/>
              <w:topLinePunct w:val="0"/>
              <w:autoSpaceDE/>
              <w:autoSpaceDN/>
              <w:bidi w:val="0"/>
              <w:adjustRightInd/>
              <w:snapToGrid/>
              <w:spacing w:before="0" w:after="0" w:line="360" w:lineRule="auto"/>
              <w:jc w:val="center"/>
              <w:textAlignment w:val="auto"/>
              <w:outlineLvl w:val="9"/>
              <w:rPr>
                <w:rFonts w:hint="default" w:ascii="宋体" w:hAnsi="宋体" w:eastAsia="宋体" w:cs="宋体"/>
                <w:b w:val="0"/>
                <w:bCs/>
                <w:sz w:val="21"/>
                <w:szCs w:val="21"/>
                <w:highlight w:val="none"/>
                <w:vertAlign w:val="baseline"/>
                <w:lang w:val="en-US" w:eastAsia="zh-CN"/>
              </w:rPr>
            </w:pPr>
            <w:r>
              <w:rPr>
                <w:rFonts w:hint="eastAsia" w:ascii="宋体" w:hAnsi="宋体" w:cs="宋体"/>
                <w:b w:val="0"/>
                <w:bCs/>
                <w:sz w:val="21"/>
                <w:szCs w:val="21"/>
                <w:highlight w:val="none"/>
                <w:vertAlign w:val="baseline"/>
                <w:lang w:val="en-US" w:eastAsia="zh-CN"/>
              </w:rPr>
              <w:t>400元/天/人</w:t>
            </w:r>
          </w:p>
        </w:tc>
        <w:tc>
          <w:tcPr>
            <w:tcW w:w="1550" w:type="dxa"/>
            <w:vMerge w:val="continue"/>
            <w:vAlign w:val="center"/>
          </w:tcPr>
          <w:p w14:paraId="2547D1CA">
            <w:pPr>
              <w:keepNext/>
              <w:keepLines/>
              <w:pageBreakBefore w:val="0"/>
              <w:widowControl w:val="0"/>
              <w:numPr>
                <w:ilvl w:val="0"/>
                <w:numId w:val="0"/>
              </w:numPr>
              <w:kinsoku/>
              <w:wordWrap/>
              <w:overflowPunct/>
              <w:topLinePunct w:val="0"/>
              <w:autoSpaceDE/>
              <w:autoSpaceDN/>
              <w:bidi w:val="0"/>
              <w:adjustRightInd/>
              <w:snapToGrid/>
              <w:spacing w:before="0" w:after="0" w:line="360" w:lineRule="auto"/>
              <w:jc w:val="center"/>
              <w:textAlignment w:val="auto"/>
              <w:outlineLvl w:val="9"/>
              <w:rPr>
                <w:rFonts w:hint="eastAsia" w:ascii="宋体" w:hAnsi="宋体" w:eastAsia="宋体" w:cs="宋体"/>
                <w:b w:val="0"/>
                <w:bCs/>
                <w:i/>
                <w:iCs/>
                <w:sz w:val="21"/>
                <w:szCs w:val="21"/>
                <w:highlight w:val="none"/>
                <w:vertAlign w:val="baseline"/>
              </w:rPr>
            </w:pPr>
          </w:p>
        </w:tc>
      </w:tr>
      <w:tr w14:paraId="13F7AF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9" w:type="dxa"/>
            <w:vAlign w:val="center"/>
          </w:tcPr>
          <w:p w14:paraId="19B3E40E">
            <w:pPr>
              <w:keepNext/>
              <w:keepLines/>
              <w:pageBreakBefore w:val="0"/>
              <w:widowControl w:val="0"/>
              <w:numPr>
                <w:ilvl w:val="0"/>
                <w:numId w:val="0"/>
              </w:numPr>
              <w:kinsoku/>
              <w:wordWrap/>
              <w:overflowPunct/>
              <w:topLinePunct w:val="0"/>
              <w:autoSpaceDE/>
              <w:autoSpaceDN/>
              <w:bidi w:val="0"/>
              <w:adjustRightInd/>
              <w:snapToGrid/>
              <w:spacing w:before="0" w:after="0" w:line="360" w:lineRule="auto"/>
              <w:jc w:val="center"/>
              <w:textAlignment w:val="auto"/>
              <w:outlineLvl w:val="9"/>
              <w:rPr>
                <w:rFonts w:hint="default" w:ascii="宋体" w:hAnsi="宋体" w:cs="宋体"/>
                <w:b w:val="0"/>
                <w:bCs/>
                <w:sz w:val="21"/>
                <w:szCs w:val="21"/>
                <w:highlight w:val="none"/>
                <w:vertAlign w:val="baseline"/>
                <w:lang w:val="en-US" w:eastAsia="zh-CN"/>
              </w:rPr>
            </w:pPr>
            <w:r>
              <w:rPr>
                <w:rFonts w:hint="eastAsia" w:ascii="宋体" w:hAnsi="宋体" w:cs="宋体"/>
                <w:b w:val="0"/>
                <w:bCs/>
                <w:sz w:val="21"/>
                <w:szCs w:val="21"/>
                <w:highlight w:val="none"/>
                <w:vertAlign w:val="baseline"/>
                <w:lang w:val="en-US" w:eastAsia="zh-CN"/>
              </w:rPr>
              <w:t>6</w:t>
            </w:r>
          </w:p>
        </w:tc>
        <w:tc>
          <w:tcPr>
            <w:tcW w:w="3758" w:type="dxa"/>
            <w:vAlign w:val="center"/>
          </w:tcPr>
          <w:p w14:paraId="0BE7C430">
            <w:pPr>
              <w:keepNext/>
              <w:keepLines/>
              <w:pageBreakBefore w:val="0"/>
              <w:widowControl w:val="0"/>
              <w:numPr>
                <w:ilvl w:val="0"/>
                <w:numId w:val="0"/>
              </w:numPr>
              <w:kinsoku/>
              <w:wordWrap/>
              <w:overflowPunct/>
              <w:topLinePunct w:val="0"/>
              <w:autoSpaceDE/>
              <w:autoSpaceDN/>
              <w:bidi w:val="0"/>
              <w:adjustRightInd/>
              <w:snapToGrid/>
              <w:spacing w:before="0" w:after="0" w:line="360" w:lineRule="auto"/>
              <w:jc w:val="center"/>
              <w:textAlignment w:val="auto"/>
              <w:outlineLvl w:val="9"/>
              <w:rPr>
                <w:rFonts w:hint="eastAsia" w:ascii="宋体" w:hAnsi="宋体" w:cs="宋体"/>
                <w:b w:val="0"/>
                <w:bCs/>
                <w:sz w:val="21"/>
                <w:szCs w:val="21"/>
                <w:highlight w:val="none"/>
                <w:vertAlign w:val="baseline"/>
                <w:lang w:eastAsia="zh-CN"/>
              </w:rPr>
            </w:pPr>
            <w:r>
              <w:rPr>
                <w:rFonts w:hint="eastAsia" w:ascii="宋体" w:hAnsi="宋体" w:cs="宋体"/>
                <w:b w:val="0"/>
                <w:bCs/>
                <w:sz w:val="21"/>
                <w:szCs w:val="21"/>
                <w:highlight w:val="none"/>
                <w:vertAlign w:val="baseline"/>
                <w:lang w:eastAsia="zh-CN"/>
              </w:rPr>
              <w:t>陪人床</w:t>
            </w:r>
          </w:p>
        </w:tc>
        <w:tc>
          <w:tcPr>
            <w:tcW w:w="2415" w:type="dxa"/>
            <w:vAlign w:val="center"/>
          </w:tcPr>
          <w:p w14:paraId="63BB1632">
            <w:pPr>
              <w:keepNext/>
              <w:keepLines/>
              <w:pageBreakBefore w:val="0"/>
              <w:widowControl w:val="0"/>
              <w:numPr>
                <w:ilvl w:val="0"/>
                <w:numId w:val="0"/>
              </w:numPr>
              <w:kinsoku/>
              <w:wordWrap/>
              <w:overflowPunct/>
              <w:topLinePunct w:val="0"/>
              <w:autoSpaceDE/>
              <w:autoSpaceDN/>
              <w:bidi w:val="0"/>
              <w:adjustRightInd/>
              <w:snapToGrid/>
              <w:spacing w:before="0" w:after="0" w:line="360" w:lineRule="auto"/>
              <w:jc w:val="center"/>
              <w:textAlignment w:val="auto"/>
              <w:outlineLvl w:val="9"/>
              <w:rPr>
                <w:rFonts w:hint="default" w:ascii="宋体" w:hAnsi="宋体" w:cs="宋体"/>
                <w:b w:val="0"/>
                <w:bCs/>
                <w:sz w:val="21"/>
                <w:szCs w:val="21"/>
                <w:highlight w:val="none"/>
                <w:vertAlign w:val="baseline"/>
                <w:lang w:val="en-US" w:eastAsia="zh-CN"/>
              </w:rPr>
            </w:pPr>
            <w:r>
              <w:rPr>
                <w:rFonts w:hint="eastAsia" w:ascii="宋体" w:hAnsi="宋体" w:cs="宋体"/>
                <w:b w:val="0"/>
                <w:bCs/>
                <w:sz w:val="21"/>
                <w:szCs w:val="21"/>
                <w:highlight w:val="none"/>
                <w:vertAlign w:val="baseline"/>
                <w:lang w:val="en-US" w:eastAsia="zh-CN"/>
              </w:rPr>
              <w:t>20元/天/人</w:t>
            </w:r>
          </w:p>
        </w:tc>
        <w:tc>
          <w:tcPr>
            <w:tcW w:w="1550" w:type="dxa"/>
            <w:vAlign w:val="center"/>
          </w:tcPr>
          <w:p w14:paraId="08243566">
            <w:pPr>
              <w:keepNext/>
              <w:keepLines/>
              <w:pageBreakBefore w:val="0"/>
              <w:widowControl w:val="0"/>
              <w:numPr>
                <w:ilvl w:val="0"/>
                <w:numId w:val="0"/>
              </w:numPr>
              <w:kinsoku/>
              <w:wordWrap/>
              <w:overflowPunct/>
              <w:topLinePunct w:val="0"/>
              <w:autoSpaceDE/>
              <w:autoSpaceDN/>
              <w:bidi w:val="0"/>
              <w:adjustRightInd/>
              <w:snapToGrid/>
              <w:spacing w:before="0" w:after="0" w:line="360" w:lineRule="auto"/>
              <w:jc w:val="center"/>
              <w:textAlignment w:val="auto"/>
              <w:outlineLvl w:val="9"/>
              <w:rPr>
                <w:rFonts w:hint="eastAsia" w:ascii="宋体" w:hAnsi="宋体" w:eastAsia="宋体" w:cs="宋体"/>
                <w:b w:val="0"/>
                <w:bCs/>
                <w:sz w:val="21"/>
                <w:szCs w:val="21"/>
                <w:highlight w:val="none"/>
                <w:vertAlign w:val="baseline"/>
              </w:rPr>
            </w:pPr>
          </w:p>
        </w:tc>
      </w:tr>
    </w:tbl>
    <w:p w14:paraId="0BE9BC32">
      <w:pPr>
        <w:keepNext w:val="0"/>
        <w:keepLines w:val="0"/>
        <w:pageBreakBefore w:val="0"/>
        <w:widowControl w:val="0"/>
        <w:kinsoku/>
        <w:wordWrap/>
        <w:overflowPunct/>
        <w:topLinePunct w:val="0"/>
        <w:autoSpaceDE/>
        <w:autoSpaceDN/>
        <w:bidi w:val="0"/>
        <w:adjustRightInd/>
        <w:snapToGrid/>
        <w:spacing w:line="440" w:lineRule="exact"/>
        <w:jc w:val="left"/>
        <w:textAlignment w:val="auto"/>
        <w:rPr>
          <w:rFonts w:hint="eastAsia" w:ascii="宋体" w:hAnsi="宋体" w:eastAsia="宋体" w:cs="宋体"/>
          <w:b/>
          <w:bCs/>
          <w:sz w:val="24"/>
          <w:szCs w:val="24"/>
        </w:rPr>
      </w:pPr>
      <w:r>
        <w:rPr>
          <w:rFonts w:hint="eastAsia" w:ascii="宋体" w:hAnsi="宋体" w:eastAsia="宋体" w:cs="宋体"/>
          <w:b/>
          <w:bCs/>
          <w:sz w:val="24"/>
          <w:szCs w:val="24"/>
        </w:rPr>
        <w:t>（二）收费要求</w:t>
      </w:r>
    </w:p>
    <w:p w14:paraId="6E865BBD">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rPr>
        <w:t>1.明码标价并在医院及科室醒目位置公示。</w:t>
      </w:r>
    </w:p>
    <w:p w14:paraId="13B6A44E">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rPr>
        <w:t>2.“三无人员”（无姓名、无家属、无力支付费用）照护费用为50元/人/天，含一日三餐及日常生活照护费用。</w:t>
      </w:r>
    </w:p>
    <w:p w14:paraId="539CAFB6">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rPr>
        <w:t>3.公司进场前需向医院缴纳不少于10万元履约保证金，履约保证金一般用于我院的救济途径，如公司有重大违约情况且拒不履约情况下可以先行使用，比如因陪护人员造成重大医疗纠纷事故或造成医院大型设备损坏等，公司不履约赔付义务，医院可以用该履约保护金先行赔付。合同期满考核合格后无息退还。</w:t>
      </w:r>
    </w:p>
    <w:p w14:paraId="04F72A6B">
      <w:pPr>
        <w:keepNext w:val="0"/>
        <w:keepLines w:val="0"/>
        <w:pageBreakBefore w:val="0"/>
        <w:widowControl w:val="0"/>
        <w:kinsoku/>
        <w:wordWrap/>
        <w:overflowPunct/>
        <w:topLinePunct w:val="0"/>
        <w:autoSpaceDE/>
        <w:autoSpaceDN/>
        <w:bidi w:val="0"/>
        <w:adjustRightInd/>
        <w:snapToGrid/>
        <w:spacing w:line="440" w:lineRule="exact"/>
        <w:jc w:val="left"/>
        <w:textAlignment w:val="auto"/>
        <w:rPr>
          <w:rFonts w:hint="eastAsia" w:ascii="宋体" w:hAnsi="宋体" w:eastAsia="宋体" w:cs="宋体"/>
          <w:b/>
          <w:bCs/>
          <w:sz w:val="28"/>
          <w:szCs w:val="28"/>
        </w:rPr>
      </w:pPr>
      <w:r>
        <w:rPr>
          <w:rFonts w:hint="eastAsia" w:ascii="宋体" w:hAnsi="宋体" w:eastAsia="宋体" w:cs="宋体"/>
          <w:b/>
          <w:bCs/>
          <w:sz w:val="28"/>
          <w:szCs w:val="28"/>
          <w:lang w:val="en-US" w:eastAsia="zh-CN"/>
        </w:rPr>
        <w:t>八</w:t>
      </w:r>
      <w:r>
        <w:rPr>
          <w:rFonts w:hint="eastAsia" w:ascii="宋体" w:hAnsi="宋体" w:eastAsia="宋体" w:cs="宋体"/>
          <w:b/>
          <w:bCs/>
          <w:sz w:val="28"/>
          <w:szCs w:val="28"/>
        </w:rPr>
        <w:t>、责任与义务</w:t>
      </w:r>
    </w:p>
    <w:p w14:paraId="66C8A27C">
      <w:pPr>
        <w:keepNext w:val="0"/>
        <w:keepLines w:val="0"/>
        <w:pageBreakBefore w:val="0"/>
        <w:widowControl w:val="0"/>
        <w:kinsoku/>
        <w:wordWrap/>
        <w:overflowPunct/>
        <w:topLinePunct w:val="0"/>
        <w:autoSpaceDE/>
        <w:autoSpaceDN/>
        <w:bidi w:val="0"/>
        <w:adjustRightInd/>
        <w:snapToGrid/>
        <w:spacing w:line="440" w:lineRule="exact"/>
        <w:jc w:val="left"/>
        <w:textAlignment w:val="auto"/>
        <w:rPr>
          <w:rFonts w:hint="eastAsia" w:ascii="宋体" w:hAnsi="宋体" w:eastAsia="宋体" w:cs="宋体"/>
          <w:b/>
          <w:bCs/>
          <w:sz w:val="24"/>
          <w:szCs w:val="24"/>
        </w:rPr>
      </w:pPr>
      <w:r>
        <w:rPr>
          <w:rFonts w:hint="eastAsia" w:ascii="宋体" w:hAnsi="宋体" w:eastAsia="宋体" w:cs="宋体"/>
          <w:b/>
          <w:bCs/>
          <w:sz w:val="24"/>
          <w:szCs w:val="24"/>
        </w:rPr>
        <w:t>（一）陪护公司责任</w:t>
      </w:r>
    </w:p>
    <w:p w14:paraId="791BD709">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rPr>
        <w:t>1.对护理员行为承担全部责任：因护理员照护不当导致患者意外伤害、纠纷的，由公司承担赔偿及法律责任；给医院造成声誉或财产损失的，承担全部赔偿责任。</w:t>
      </w:r>
    </w:p>
    <w:p w14:paraId="60DA82FD">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rPr>
        <w:t>2.合法用工：依法与护理员签订劳动合同，保障其社会保险、劳动保护、工资福利等合法权益；陪护人员由医院和公司双重监管。</w:t>
      </w:r>
    </w:p>
    <w:p w14:paraId="34BF47CB">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rPr>
        <w:t>3.健康管理：承担护理员健康体检费用，每年组织一次三级以上医院体检，对患有传染性疾病、精神障碍等人员立即调离岗位。</w:t>
      </w:r>
    </w:p>
    <w:p w14:paraId="2E7C57D5">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rPr>
        <w:t>4.保险保障：为护理员购买团体人身险（含意外险或雇主责任险），确保全覆盖。</w:t>
      </w:r>
    </w:p>
    <w:p w14:paraId="4AC41CA4">
      <w:pPr>
        <w:keepNext w:val="0"/>
        <w:keepLines w:val="0"/>
        <w:pageBreakBefore w:val="0"/>
        <w:widowControl w:val="0"/>
        <w:kinsoku/>
        <w:wordWrap/>
        <w:overflowPunct/>
        <w:topLinePunct w:val="0"/>
        <w:autoSpaceDE/>
        <w:autoSpaceDN/>
        <w:bidi w:val="0"/>
        <w:adjustRightInd/>
        <w:snapToGrid/>
        <w:spacing w:line="440" w:lineRule="exact"/>
        <w:jc w:val="left"/>
        <w:textAlignment w:val="auto"/>
        <w:rPr>
          <w:rFonts w:hint="eastAsia" w:ascii="宋体" w:hAnsi="宋体" w:eastAsia="宋体" w:cs="宋体"/>
          <w:b/>
          <w:bCs/>
          <w:sz w:val="24"/>
          <w:szCs w:val="24"/>
        </w:rPr>
      </w:pPr>
      <w:r>
        <w:rPr>
          <w:rFonts w:hint="eastAsia" w:ascii="宋体" w:hAnsi="宋体" w:eastAsia="宋体" w:cs="宋体"/>
          <w:b/>
          <w:bCs/>
          <w:sz w:val="24"/>
          <w:szCs w:val="24"/>
        </w:rPr>
        <w:t>（二）配合义务</w:t>
      </w:r>
    </w:p>
    <w:p w14:paraId="02CAEFFA">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rPr>
        <w:t>1.配合医院等级评审、三甲创建、院感检查等工作，落实相关整改要求。</w:t>
      </w:r>
    </w:p>
    <w:p w14:paraId="0DA69BAF">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rPr>
        <w:t>2.按医院要求提供护理员花名册、出勤记录、培训档案等资料，每月10日前上报上月数据。</w:t>
      </w:r>
    </w:p>
    <w:p w14:paraId="6A85BF07">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rPr>
        <w:t>3.服从免陪管理办公室及科室护士长的业务指导和管理，对考核不合格的护理员，5日内完成更换。</w:t>
      </w:r>
    </w:p>
    <w:p w14:paraId="047D9031">
      <w:pPr>
        <w:keepNext w:val="0"/>
        <w:keepLines w:val="0"/>
        <w:pageBreakBefore w:val="0"/>
        <w:widowControl w:val="0"/>
        <w:kinsoku/>
        <w:wordWrap/>
        <w:overflowPunct/>
        <w:topLinePunct w:val="0"/>
        <w:autoSpaceDE/>
        <w:autoSpaceDN/>
        <w:bidi w:val="0"/>
        <w:adjustRightInd/>
        <w:snapToGrid/>
        <w:spacing w:line="440" w:lineRule="exact"/>
        <w:jc w:val="left"/>
        <w:textAlignment w:val="auto"/>
        <w:rPr>
          <w:rFonts w:hint="eastAsia" w:ascii="宋体" w:hAnsi="宋体" w:eastAsia="宋体" w:cs="宋体"/>
          <w:b/>
          <w:bCs/>
          <w:sz w:val="28"/>
          <w:szCs w:val="28"/>
        </w:rPr>
      </w:pPr>
      <w:r>
        <w:rPr>
          <w:rFonts w:hint="eastAsia" w:ascii="宋体" w:hAnsi="宋体" w:eastAsia="宋体" w:cs="宋体"/>
          <w:b/>
          <w:bCs/>
          <w:sz w:val="28"/>
          <w:szCs w:val="28"/>
          <w:lang w:val="en-US" w:eastAsia="zh-CN"/>
        </w:rPr>
        <w:t>九</w:t>
      </w:r>
      <w:r>
        <w:rPr>
          <w:rFonts w:hint="eastAsia" w:ascii="宋体" w:hAnsi="宋体" w:eastAsia="宋体" w:cs="宋体"/>
          <w:b/>
          <w:bCs/>
          <w:sz w:val="28"/>
          <w:szCs w:val="28"/>
        </w:rPr>
        <w:t>、其他要求</w:t>
      </w:r>
    </w:p>
    <w:p w14:paraId="7D27A75F">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rPr>
        <w:t>1.公司不得将本项目分包或转包，否则医院有权单方解除合同，并追究其违约责任。</w:t>
      </w:r>
    </w:p>
    <w:p w14:paraId="48457782">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rPr>
        <w:t>2.合同履行期间，若遇国家、地方相关政策调整，按最新政策要求执行，公司需无条件配合。</w:t>
      </w:r>
    </w:p>
    <w:p w14:paraId="79E9A462">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rPr>
        <w:t>3.有条件可配备智能化管理软件，需实现服务订单管理、人员档案管理、服务数据统计、满意度评价等功能，确保医院可实时查询相关数据。</w:t>
      </w:r>
    </w:p>
    <w:p w14:paraId="57FAFB89">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rPr>
        <w:t>4.护理员工作服由医院统一洗涤消毒，相关费用由公司承担。</w:t>
      </w:r>
    </w:p>
    <w:p w14:paraId="67A4C0EE">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rPr>
        <w:t>5.公司为本项目购买公共责任险（保障范围含中毒、摔伤、爆炸等意外情形），保额不低于人民币500万元，全部费用由公司承担；公司需在进场后1个月内提供有效保险证明书。</w:t>
      </w:r>
    </w:p>
    <w:p w14:paraId="5E7E2D4C">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rPr>
        <w:t>6.签订合同后10日内，公司需向院方方缴纳当年的管理费用，分别为：房屋租赁150元/月、水电费：</w:t>
      </w:r>
      <w:r>
        <w:rPr>
          <w:rFonts w:hint="eastAsia" w:ascii="宋体" w:hAnsi="宋体" w:eastAsia="宋体" w:cs="宋体"/>
          <w:sz w:val="21"/>
          <w:szCs w:val="21"/>
          <w:lang w:val="en-US" w:eastAsia="zh-CN"/>
        </w:rPr>
        <w:t>7</w:t>
      </w:r>
      <w:r>
        <w:rPr>
          <w:rFonts w:hint="eastAsia" w:ascii="宋体" w:hAnsi="宋体" w:eastAsia="宋体" w:cs="宋体"/>
          <w:sz w:val="21"/>
          <w:szCs w:val="21"/>
        </w:rPr>
        <w:t>000元/月。</w:t>
      </w:r>
    </w:p>
    <w:p w14:paraId="3074831A">
      <w:pPr>
        <w:pStyle w:val="2"/>
        <w:ind w:firstLine="422" w:firstLineChars="200"/>
        <w:rPr>
          <w:rFonts w:hint="eastAsia"/>
          <w:lang w:eastAsia="zh-CN"/>
        </w:rPr>
      </w:pPr>
      <w:r>
        <w:rPr>
          <w:rFonts w:hint="eastAsia"/>
          <w:lang w:val="en-US" w:eastAsia="zh-CN"/>
        </w:rPr>
        <w:t>7</w:t>
      </w:r>
      <w:r>
        <w:rPr>
          <w:rFonts w:hint="eastAsia"/>
        </w:rPr>
        <w:t>.付款方式：</w:t>
      </w:r>
      <w:r>
        <w:rPr>
          <w:rFonts w:hint="eastAsia"/>
          <w:lang w:eastAsia="zh-CN"/>
        </w:rPr>
        <w:t>所有陪护人员服务费用及投入本项目的一切设备设施费用由中标公司向病人或其家属收取，中标公司独立经营、自负盈亏。</w:t>
      </w:r>
    </w:p>
    <w:p w14:paraId="28D33E6F">
      <w:pPr>
        <w:pStyle w:val="2"/>
        <w:ind w:firstLine="422" w:firstLineChars="200"/>
        <w:rPr>
          <w:rFonts w:hint="eastAsia"/>
          <w:lang w:eastAsia="zh-CN"/>
        </w:rPr>
      </w:pPr>
      <w:r>
        <w:rPr>
          <w:rFonts w:hint="eastAsia"/>
          <w:lang w:val="en-US" w:eastAsia="zh-CN"/>
        </w:rPr>
        <w:t>8</w:t>
      </w:r>
      <w:r>
        <w:rPr>
          <w:rFonts w:hint="eastAsia"/>
        </w:rPr>
        <w:t>.服务期限：</w:t>
      </w:r>
      <w:r>
        <w:rPr>
          <w:rFonts w:hint="eastAsia"/>
          <w:lang w:eastAsia="zh-CN"/>
        </w:rPr>
        <w:t>本项目服务期限为自合同签订之日起一年。本项目为长期服务类项目，第一年为本次招标的中标服务期限，</w:t>
      </w:r>
      <w:r>
        <w:rPr>
          <w:rFonts w:hint="eastAsia"/>
          <w:lang w:val="en-US" w:eastAsia="zh-CN"/>
        </w:rPr>
        <w:t>采购人</w:t>
      </w:r>
      <w:r>
        <w:rPr>
          <w:rFonts w:hint="eastAsia"/>
          <w:lang w:eastAsia="zh-CN"/>
        </w:rPr>
        <w:t>可根据项目需要和</w:t>
      </w:r>
      <w:r>
        <w:rPr>
          <w:rFonts w:hint="eastAsia"/>
          <w:lang w:val="en-US" w:eastAsia="zh-CN"/>
        </w:rPr>
        <w:t>中标人</w:t>
      </w:r>
      <w:r>
        <w:rPr>
          <w:rFonts w:hint="eastAsia"/>
          <w:lang w:eastAsia="zh-CN"/>
        </w:rPr>
        <w:t>的履约情况确定合同期限是否延长，但最长不超过三年。</w:t>
      </w:r>
    </w:p>
    <w:p w14:paraId="247C5C2F">
      <w:pPr>
        <w:pStyle w:val="2"/>
        <w:ind w:firstLine="422" w:firstLineChars="200"/>
        <w:rPr>
          <w:rFonts w:hint="eastAsia"/>
        </w:rPr>
      </w:pPr>
      <w:r>
        <w:rPr>
          <w:rFonts w:hint="eastAsia"/>
          <w:lang w:val="en-US" w:eastAsia="zh-CN"/>
        </w:rPr>
        <w:t>9</w:t>
      </w:r>
      <w:r>
        <w:rPr>
          <w:rFonts w:hint="eastAsia"/>
        </w:rPr>
        <w:t>.售后服务要求：</w:t>
      </w:r>
      <w:r>
        <w:rPr>
          <w:rFonts w:hint="eastAsia"/>
          <w:lang w:eastAsia="zh-CN"/>
        </w:rPr>
        <w:t>当陪护人员与病人或病人家属出现纠纷时，由中标公司自行调解，调解无效时走法律程序。</w:t>
      </w:r>
    </w:p>
    <w:p w14:paraId="79964078">
      <w:pPr>
        <w:keepNext w:val="0"/>
        <w:keepLines w:val="0"/>
        <w:pageBreakBefore w:val="0"/>
        <w:widowControl w:val="0"/>
        <w:kinsoku/>
        <w:wordWrap/>
        <w:overflowPunct/>
        <w:topLinePunct w:val="0"/>
        <w:autoSpaceDE/>
        <w:autoSpaceDN/>
        <w:bidi w:val="0"/>
        <w:adjustRightInd/>
        <w:snapToGrid/>
        <w:spacing w:line="440" w:lineRule="exact"/>
        <w:jc w:val="left"/>
        <w:textAlignment w:val="auto"/>
        <w:rPr>
          <w:rFonts w:hint="eastAsia" w:ascii="宋体" w:hAnsi="宋体" w:eastAsia="宋体" w:cs="宋体"/>
          <w:b/>
          <w:bCs/>
          <w:sz w:val="28"/>
          <w:szCs w:val="28"/>
        </w:rPr>
      </w:pPr>
      <w:r>
        <w:rPr>
          <w:rFonts w:hint="eastAsia" w:ascii="宋体" w:hAnsi="宋体" w:eastAsia="宋体" w:cs="宋体"/>
          <w:b/>
          <w:bCs/>
          <w:sz w:val="28"/>
          <w:szCs w:val="28"/>
          <w:lang w:val="en-US" w:eastAsia="zh-CN"/>
        </w:rPr>
        <w:t>十</w:t>
      </w:r>
      <w:r>
        <w:rPr>
          <w:rFonts w:hint="eastAsia" w:ascii="宋体" w:hAnsi="宋体" w:eastAsia="宋体" w:cs="宋体"/>
          <w:b/>
          <w:bCs/>
          <w:sz w:val="28"/>
          <w:szCs w:val="28"/>
        </w:rPr>
        <w:t>、追责条款</w:t>
      </w:r>
    </w:p>
    <w:p w14:paraId="5B44542C">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rPr>
        <w:t>1.护理员陪护期间如果有偷窃及猥亵患者等违法行为，一律报警追究法律责任；因护理员与患者（或家属）发生纠纷、工作失误导致患者摔伤、烫伤、坠床、走失等意外伤害或引发其他医疗纠纷的，由公司全权负责处理，承担全部赔偿责任及相关法律后果。</w:t>
      </w:r>
    </w:p>
    <w:p w14:paraId="24CEC2E5">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rPr>
        <w:t>2.公司人员与院方之间不存在劳动关系或劳务关系。公司人员在工作期间、上下班途中的人身安全及相关意外风险，均由公司自行负责，与院方无关。</w:t>
      </w:r>
    </w:p>
    <w:p w14:paraId="31E1D7CE">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rPr>
        <w:t>3.若公司未达到院方约定的服务要求，院方有权要求公司在1个月内完成整改；公司逾期未整改或整改无成效的，院方有权单方面解除合同，因此给院方造成经济损失的，公司应予以全额赔偿。</w:t>
      </w:r>
    </w:p>
    <w:p w14:paraId="70E35D07">
      <w:pPr>
        <w:keepNext w:val="0"/>
        <w:keepLines w:val="0"/>
        <w:pageBreakBefore w:val="0"/>
        <w:widowControl w:val="0"/>
        <w:kinsoku/>
        <w:wordWrap/>
        <w:overflowPunct/>
        <w:topLinePunct w:val="0"/>
        <w:autoSpaceDE/>
        <w:autoSpaceDN/>
        <w:bidi w:val="0"/>
        <w:adjustRightInd/>
        <w:snapToGrid/>
        <w:spacing w:line="440" w:lineRule="exact"/>
        <w:jc w:val="left"/>
        <w:textAlignment w:val="auto"/>
        <w:rPr>
          <w:rFonts w:hint="eastAsia" w:ascii="宋体" w:hAnsi="宋体" w:eastAsia="宋体" w:cs="宋体"/>
          <w:b/>
          <w:bCs/>
          <w:sz w:val="28"/>
          <w:szCs w:val="28"/>
        </w:rPr>
      </w:pPr>
      <w:r>
        <w:rPr>
          <w:rFonts w:hint="eastAsia" w:ascii="宋体" w:hAnsi="宋体" w:eastAsia="宋体" w:cs="宋体"/>
          <w:b/>
          <w:bCs/>
          <w:sz w:val="28"/>
          <w:szCs w:val="28"/>
          <w:lang w:val="en-US" w:eastAsia="zh-CN"/>
        </w:rPr>
        <w:t>十一</w:t>
      </w:r>
      <w:r>
        <w:rPr>
          <w:rFonts w:hint="eastAsia" w:ascii="宋体" w:hAnsi="宋体" w:eastAsia="宋体" w:cs="宋体"/>
          <w:b/>
          <w:bCs/>
          <w:sz w:val="28"/>
          <w:szCs w:val="28"/>
        </w:rPr>
        <w:t>、年度计划与总结管理</w:t>
      </w:r>
    </w:p>
    <w:p w14:paraId="39EA7A3D">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rPr>
        <w:t>1.年度计划：公司需在每年1月31日前，向医院陪护管理办公室提交当年服务工作计划，内容需涵盖人员配置优化方案、培训提升计划、服务质量改进目标、增值服务深化措施、应急演练安排等核心内容，经医院审核通过后严格遵照执行。</w:t>
      </w:r>
    </w:p>
    <w:p w14:paraId="166F0848">
      <w:pPr>
        <w:keepNext w:val="0"/>
        <w:keepLines w:val="0"/>
        <w:pageBreakBefore w:val="0"/>
        <w:widowControl w:val="0"/>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sz w:val="21"/>
          <w:szCs w:val="21"/>
        </w:rPr>
      </w:pPr>
      <w:r>
        <w:rPr>
          <w:rFonts w:hint="eastAsia" w:ascii="宋体" w:hAnsi="宋体" w:eastAsia="宋体" w:cs="宋体"/>
          <w:sz w:val="21"/>
          <w:szCs w:val="21"/>
        </w:rPr>
        <w:t>2.年度总结：每年1月15日前，提交上一年度的服务工作总结，重点说明计划落实情况、服务成效、存在问题及下一年度改进方向，总结需附相关佐证材料（如培训记录、考核数据、患者满意度报告等）。</w:t>
      </w:r>
    </w:p>
    <w:p w14:paraId="045936FB">
      <w:pPr>
        <w:pStyle w:val="2"/>
        <w:numPr>
          <w:ilvl w:val="0"/>
          <w:numId w:val="0"/>
        </w:numPr>
        <w:ind w:leftChars="0" w:firstLine="420" w:firstLineChars="200"/>
        <w:rPr>
          <w:rFonts w:hint="default"/>
          <w:b w:val="0"/>
          <w:bCs w:val="0"/>
          <w:sz w:val="21"/>
          <w:szCs w:val="21"/>
          <w:lang w:val="en-US" w:eastAsia="zh-CN"/>
        </w:rPr>
      </w:pPr>
      <w:r>
        <w:rPr>
          <w:rFonts w:hint="eastAsia" w:ascii="宋体" w:hAnsi="宋体" w:eastAsia="宋体" w:cs="宋体"/>
          <w:b w:val="0"/>
          <w:bCs w:val="0"/>
          <w:sz w:val="21"/>
          <w:szCs w:val="21"/>
        </w:rPr>
        <w:t>3.执行要求：年度计划一经审核通过，不得擅自变更；确需调整的，需提前15日向医院提交书面申请，经批准后方可执行。未按要求提交计划或总结、未落实计划内容的，将在当月管理满意度考核中扣除相应分值（每次扣2分）。</w:t>
      </w:r>
    </w:p>
    <w:bookmarkEnd w:id="42"/>
    <w:p w14:paraId="6ECA8C81">
      <w:pPr>
        <w:pStyle w:val="5"/>
        <w:pageBreakBefore w:val="0"/>
        <w:kinsoku/>
        <w:overflowPunct/>
        <w:topLinePunct w:val="0"/>
        <w:autoSpaceDE/>
        <w:autoSpaceDN/>
        <w:bidi w:val="0"/>
        <w:spacing w:beforeAutospacing="0" w:afterAutospacing="0" w:line="360" w:lineRule="auto"/>
        <w:ind w:left="0" w:leftChars="0" w:right="0" w:firstLine="0" w:firstLineChars="0"/>
        <w:jc w:val="left"/>
        <w:outlineLvl w:val="2"/>
        <w:rPr>
          <w:rFonts w:hint="default" w:ascii="Times New Roman" w:hAnsi="Times New Roman" w:eastAsia="宋体" w:cs="Times New Roman"/>
          <w:b/>
          <w:bCs/>
          <w:sz w:val="28"/>
          <w:szCs w:val="28"/>
          <w:highlight w:val="none"/>
        </w:rPr>
      </w:pPr>
      <w:r>
        <w:rPr>
          <w:rFonts w:hint="eastAsia" w:ascii="Times New Roman" w:hAnsi="Times New Roman" w:cs="Times New Roman"/>
          <w:b/>
          <w:bCs/>
          <w:sz w:val="28"/>
          <w:szCs w:val="28"/>
          <w:highlight w:val="none"/>
          <w:lang w:val="en-US" w:eastAsia="zh-CN"/>
        </w:rPr>
        <w:t>十二</w:t>
      </w:r>
      <w:r>
        <w:rPr>
          <w:rFonts w:hint="default" w:ascii="Times New Roman" w:hAnsi="Times New Roman" w:eastAsia="宋体" w:cs="Times New Roman"/>
          <w:b/>
          <w:bCs/>
          <w:sz w:val="28"/>
          <w:szCs w:val="28"/>
          <w:highlight w:val="none"/>
        </w:rPr>
        <w:t>、其他重要条款</w:t>
      </w:r>
    </w:p>
    <w:p w14:paraId="3245ABEF">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Cs/>
          <w:sz w:val="21"/>
          <w:szCs w:val="21"/>
          <w:highlight w:val="none"/>
        </w:rPr>
      </w:pPr>
      <w:r>
        <w:rPr>
          <w:rFonts w:hint="default" w:ascii="Times New Roman" w:hAnsi="Times New Roman" w:eastAsia="宋体" w:cs="Times New Roman"/>
          <w:bCs/>
          <w:sz w:val="21"/>
          <w:szCs w:val="21"/>
          <w:highlight w:val="none"/>
        </w:rPr>
        <w:t>1、本项目投标报价采用包干制，应包括成本、法定税费和相应的利润，应涵盖本项目招标范围和招标文件所列的各项内容中所述的全部。由投标人根据招标需求自行测算投标报价；一经中标，投标报价即作为中标单位与采购人签订的合同金额。</w:t>
      </w:r>
    </w:p>
    <w:p w14:paraId="649AA9A3">
      <w:pPr>
        <w:pStyle w:val="8"/>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 w:val="21"/>
          <w:szCs w:val="21"/>
          <w:highlight w:val="none"/>
        </w:rPr>
      </w:pPr>
      <w:r>
        <w:rPr>
          <w:rFonts w:hint="default" w:ascii="Times New Roman" w:hAnsi="Times New Roman" w:eastAsia="宋体" w:cs="Times New Roman"/>
          <w:bCs/>
          <w:sz w:val="21"/>
          <w:szCs w:val="21"/>
          <w:highlight w:val="none"/>
        </w:rPr>
        <w:t>2、投标人应充分了解项目的位置、情况、道路及任何其它足以影响投标报价的情况，任何因忽视或误解项目情况而导致的索赔或服务期限延长申请将不获批准。</w:t>
      </w:r>
    </w:p>
    <w:p w14:paraId="5CE07385">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Cs/>
          <w:sz w:val="21"/>
          <w:szCs w:val="21"/>
          <w:highlight w:val="none"/>
        </w:rPr>
      </w:pPr>
      <w:r>
        <w:rPr>
          <w:rFonts w:hint="default" w:ascii="Times New Roman" w:hAnsi="Times New Roman" w:eastAsia="宋体" w:cs="Times New Roman"/>
          <w:bCs/>
          <w:sz w:val="21"/>
          <w:szCs w:val="21"/>
          <w:highlight w:val="none"/>
        </w:rPr>
        <w:t>3、投标人不得期望通过索赔等方式获取补偿，否则，除可能遭到拒绝外，还可能将被作为不良行为记录在案，并可能影响其以后参加政府采购的项目投标。各投标人在投标报价时，应充分考虑投标报价的风险。</w:t>
      </w:r>
    </w:p>
    <w:p w14:paraId="7BD257A5">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Cs/>
          <w:sz w:val="21"/>
          <w:szCs w:val="21"/>
          <w:highlight w:val="none"/>
        </w:rPr>
      </w:pPr>
      <w:r>
        <w:rPr>
          <w:rFonts w:hint="default" w:ascii="Times New Roman" w:hAnsi="Times New Roman" w:eastAsia="宋体" w:cs="Times New Roman"/>
          <w:bCs/>
          <w:sz w:val="21"/>
          <w:szCs w:val="21"/>
          <w:highlight w:val="none"/>
        </w:rPr>
        <w:t>4、鼓励采购人积极运用公共信用信息，明确对信用记录良好的供应商（特别是中小微企业）免收履约保证金，确需收取履约保证金的，列明通过保函等非现金方式收取。在采购合同中明确对上述企业加大首付款或预付款比例，具体由采购人根据项目实际情况确定。</w:t>
      </w:r>
    </w:p>
    <w:p w14:paraId="41890DC8">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Cs/>
          <w:sz w:val="21"/>
          <w:szCs w:val="21"/>
          <w:highlight w:val="none"/>
        </w:rPr>
      </w:pPr>
      <w:r>
        <w:rPr>
          <w:rFonts w:hint="default" w:ascii="Times New Roman" w:hAnsi="Times New Roman" w:eastAsia="宋体" w:cs="Times New Roman"/>
          <w:bCs/>
          <w:sz w:val="21"/>
          <w:szCs w:val="21"/>
          <w:highlight w:val="none"/>
        </w:rPr>
        <w:t>5、除政府采购合同继续履行将损害国家利益和社会公共利益外，双方当事人不得擅自变更、中止或者终止合同。</w:t>
      </w:r>
    </w:p>
    <w:p w14:paraId="4F75BAD9">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color w:val="0000FF"/>
          <w:sz w:val="21"/>
          <w:szCs w:val="21"/>
          <w:highlight w:val="none"/>
        </w:rPr>
      </w:pPr>
      <w:r>
        <w:rPr>
          <w:rFonts w:hint="default" w:ascii="Times New Roman" w:hAnsi="Times New Roman" w:eastAsia="宋体" w:cs="Times New Roman"/>
          <w:bCs/>
          <w:color w:val="0000FF"/>
          <w:sz w:val="21"/>
          <w:szCs w:val="21"/>
          <w:highlight w:val="none"/>
        </w:rPr>
        <w:t>6、对列入失信“黑名单”的</w:t>
      </w:r>
      <w:bookmarkStart w:id="43" w:name="_Hlk21591509"/>
      <w:r>
        <w:rPr>
          <w:rFonts w:hint="default" w:ascii="Times New Roman" w:hAnsi="Times New Roman" w:eastAsia="宋体" w:cs="Times New Roman"/>
          <w:bCs/>
          <w:color w:val="0000FF"/>
          <w:sz w:val="21"/>
          <w:szCs w:val="21"/>
          <w:highlight w:val="none"/>
        </w:rPr>
        <w:t>供应商限制参与政府采购</w:t>
      </w:r>
      <w:bookmarkEnd w:id="43"/>
      <w:r>
        <w:rPr>
          <w:rFonts w:hint="default" w:ascii="Times New Roman" w:hAnsi="Times New Roman" w:eastAsia="宋体" w:cs="Times New Roman"/>
          <w:bCs/>
          <w:color w:val="0000FF"/>
          <w:sz w:val="21"/>
          <w:szCs w:val="21"/>
          <w:highlight w:val="none"/>
        </w:rPr>
        <w:t>。供应商诚信查询方式：“信用中国”网站(</w:t>
      </w:r>
      <w:r>
        <w:rPr>
          <w:rFonts w:hint="default" w:ascii="Times New Roman" w:hAnsi="Times New Roman" w:eastAsia="宋体" w:cs="Times New Roman"/>
          <w:bCs/>
          <w:color w:val="0000FF"/>
          <w:sz w:val="21"/>
          <w:szCs w:val="21"/>
          <w:highlight w:val="none"/>
        </w:rPr>
        <w:fldChar w:fldCharType="begin"/>
      </w:r>
      <w:r>
        <w:rPr>
          <w:rFonts w:hint="default" w:ascii="Times New Roman" w:hAnsi="Times New Roman" w:eastAsia="宋体" w:cs="Times New Roman"/>
          <w:bCs/>
          <w:color w:val="0000FF"/>
          <w:sz w:val="21"/>
          <w:szCs w:val="21"/>
          <w:highlight w:val="none"/>
        </w:rPr>
        <w:instrText xml:space="preserve"> HYPERLINK "http://www.creditchina.gov.cn" </w:instrText>
      </w:r>
      <w:r>
        <w:rPr>
          <w:rFonts w:hint="default" w:ascii="Times New Roman" w:hAnsi="Times New Roman" w:eastAsia="宋体" w:cs="Times New Roman"/>
          <w:bCs/>
          <w:color w:val="0000FF"/>
          <w:sz w:val="21"/>
          <w:szCs w:val="21"/>
          <w:highlight w:val="none"/>
        </w:rPr>
        <w:fldChar w:fldCharType="separate"/>
      </w:r>
      <w:r>
        <w:rPr>
          <w:rFonts w:hint="default" w:ascii="Times New Roman" w:hAnsi="Times New Roman" w:eastAsia="宋体" w:cs="Times New Roman"/>
          <w:bCs/>
          <w:color w:val="0000FF"/>
          <w:sz w:val="21"/>
          <w:szCs w:val="21"/>
          <w:highlight w:val="none"/>
        </w:rPr>
        <w:t>www.creditchina.gov.cn</w:t>
      </w:r>
      <w:r>
        <w:rPr>
          <w:rFonts w:hint="default" w:ascii="Times New Roman" w:hAnsi="Times New Roman" w:eastAsia="宋体" w:cs="Times New Roman"/>
          <w:bCs/>
          <w:color w:val="0000FF"/>
          <w:sz w:val="21"/>
          <w:szCs w:val="21"/>
          <w:highlight w:val="none"/>
        </w:rPr>
        <w:fldChar w:fldCharType="end"/>
      </w:r>
      <w:r>
        <w:rPr>
          <w:rFonts w:hint="default" w:ascii="Times New Roman" w:hAnsi="Times New Roman" w:eastAsia="宋体" w:cs="Times New Roman"/>
          <w:bCs/>
          <w:color w:val="0000FF"/>
          <w:sz w:val="21"/>
          <w:szCs w:val="21"/>
          <w:highlight w:val="none"/>
        </w:rPr>
        <w:t>)没有以下任意记录名单之一：①记录失信被执行人；②重大税收违法案件当事人名单（税收违法黑名单）；③政府采购严重违法失信行为。中国政府采购网(www.ccgp.gov.cn)不处于“政府采购严重违法失信行为信息记录”中的禁止参加政府采购活动期间；</w:t>
      </w:r>
      <w:bookmarkStart w:id="44" w:name="_Hlk42003423"/>
      <w:r>
        <w:rPr>
          <w:rFonts w:hint="default" w:ascii="Times New Roman" w:hAnsi="Times New Roman" w:eastAsia="宋体" w:cs="Times New Roman"/>
          <w:bCs/>
          <w:color w:val="0000FF"/>
          <w:sz w:val="21"/>
          <w:szCs w:val="21"/>
          <w:highlight w:val="none"/>
        </w:rPr>
        <w:t>在深圳信用网（https://www.szcredit.com.cn）、深圳市政府采购监督管理网（zfcg.sz.gov.cn）查询相关主体信用记录，对不符合《中华人民共和国政府采购法》第二十二条规定条件的供应商限制参与政府采购。联合体投标的，对所有联合体成员进行信用记录查询，联合体成员存在不良信用记录的，视同联合体存在不良信用记录。如在上述网站查询结果均显示没有相关记录，视为不存在上述不良信用记录。由采购代理机构对信用信息查询记录和证据截图或下载存档，相关信息以开标当日的查询结果为准。信用信息查询记录应当作为项目档案材料一并保存。</w:t>
      </w:r>
      <w:bookmarkEnd w:id="44"/>
    </w:p>
    <w:p w14:paraId="176730F4">
      <w:pPr>
        <w:pageBreakBefore w:val="0"/>
        <w:kinsoku/>
        <w:overflowPunct/>
        <w:topLinePunct w:val="0"/>
        <w:autoSpaceDE/>
        <w:autoSpaceDN/>
        <w:bidi w:val="0"/>
        <w:spacing w:line="360" w:lineRule="auto"/>
        <w:ind w:left="0" w:firstLine="0" w:firstLineChars="0"/>
        <w:rPr>
          <w:rFonts w:hint="default" w:ascii="Times New Roman" w:hAnsi="Times New Roman" w:eastAsia="宋体" w:cs="Times New Roman"/>
          <w:kern w:val="2"/>
          <w:sz w:val="21"/>
          <w:szCs w:val="21"/>
          <w:highlight w:val="none"/>
        </w:rPr>
      </w:pPr>
      <w:r>
        <w:rPr>
          <w:rFonts w:hint="default" w:ascii="Times New Roman" w:hAnsi="Times New Roman" w:eastAsia="宋体" w:cs="Times New Roman"/>
          <w:kern w:val="2"/>
          <w:sz w:val="21"/>
          <w:szCs w:val="21"/>
          <w:highlight w:val="none"/>
        </w:rPr>
        <w:br w:type="page"/>
      </w:r>
    </w:p>
    <w:p w14:paraId="64697DA6">
      <w:pPr>
        <w:pStyle w:val="4"/>
        <w:bidi w:val="0"/>
        <w:rPr>
          <w:rFonts w:hint="default"/>
          <w:sz w:val="32"/>
          <w:szCs w:val="32"/>
          <w:lang w:val="en-US" w:eastAsia="zh-CN"/>
        </w:rPr>
      </w:pPr>
      <w:r>
        <w:rPr>
          <w:rFonts w:hint="eastAsia"/>
          <w:sz w:val="32"/>
          <w:szCs w:val="32"/>
          <w:lang w:val="en-US" w:eastAsia="zh-CN"/>
        </w:rPr>
        <w:t xml:space="preserve">第四章 </w:t>
      </w:r>
      <w:r>
        <w:rPr>
          <w:rFonts w:hint="default"/>
          <w:sz w:val="32"/>
          <w:szCs w:val="32"/>
          <w:lang w:val="en-US" w:eastAsia="zh-CN"/>
        </w:rPr>
        <w:t>投标须知前附表</w:t>
      </w:r>
    </w:p>
    <w:p w14:paraId="1CBE0F2C">
      <w:pPr>
        <w:spacing w:after="60" w:line="360" w:lineRule="auto"/>
        <w:rPr>
          <w:snapToGrid w:val="0"/>
          <w:kern w:val="0"/>
          <w:sz w:val="22"/>
        </w:rPr>
      </w:pPr>
      <w:r>
        <w:rPr>
          <w:rFonts w:hint="eastAsia"/>
          <w:snapToGrid w:val="0"/>
          <w:kern w:val="0"/>
          <w:sz w:val="22"/>
        </w:rPr>
        <w:t>投标须知前附表是关于本招标项目的具体资料，是对招标文件通用条款（投标人须知）的具体补充和修改，投标人须知和本前附表不一致之处，应以本前附表为准。</w:t>
      </w:r>
    </w:p>
    <w:p w14:paraId="4643439A">
      <w:pPr>
        <w:spacing w:after="60" w:line="360" w:lineRule="auto"/>
        <w:rPr>
          <w:snapToGrid w:val="0"/>
          <w:kern w:val="0"/>
          <w:sz w:val="22"/>
        </w:rPr>
      </w:pPr>
      <w:r>
        <w:rPr>
          <w:rFonts w:hint="eastAsia"/>
          <w:snapToGrid w:val="0"/>
          <w:kern w:val="0"/>
          <w:sz w:val="22"/>
        </w:rPr>
        <w:t>下表中“■”表明本项目选择该符号后所列内容，“□”表明未选择该符号后所列内容。</w:t>
      </w:r>
    </w:p>
    <w:tbl>
      <w:tblPr>
        <w:tblStyle w:val="45"/>
        <w:tblW w:w="5161" w:type="pct"/>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664"/>
        <w:gridCol w:w="2033"/>
        <w:gridCol w:w="146"/>
        <w:gridCol w:w="5742"/>
      </w:tblGrid>
      <w:tr w14:paraId="19286C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6" w:hRule="atLeast"/>
        </w:trPr>
        <w:tc>
          <w:tcPr>
            <w:tcW w:w="387" w:type="pct"/>
            <w:tcBorders>
              <w:top w:val="single" w:color="auto" w:sz="4" w:space="0"/>
              <w:left w:val="single" w:color="auto" w:sz="4" w:space="0"/>
              <w:bottom w:val="single" w:color="auto" w:sz="4" w:space="0"/>
              <w:right w:val="single" w:color="auto" w:sz="4" w:space="0"/>
            </w:tcBorders>
            <w:noWrap w:val="0"/>
            <w:vAlign w:val="center"/>
          </w:tcPr>
          <w:p w14:paraId="29C7B65B">
            <w:pPr>
              <w:spacing w:after="60" w:line="360" w:lineRule="auto"/>
              <w:jc w:val="center"/>
              <w:rPr>
                <w:rFonts w:ascii="宋体" w:hAnsi="宋体"/>
                <w:b/>
                <w:bCs/>
                <w:snapToGrid w:val="0"/>
                <w:kern w:val="0"/>
                <w:sz w:val="24"/>
                <w:szCs w:val="28"/>
              </w:rPr>
            </w:pPr>
            <w:r>
              <w:rPr>
                <w:rFonts w:hint="eastAsia" w:ascii="宋体" w:hAnsi="宋体"/>
                <w:b/>
                <w:bCs/>
                <w:snapToGrid w:val="0"/>
                <w:kern w:val="0"/>
                <w:sz w:val="24"/>
                <w:szCs w:val="28"/>
              </w:rPr>
              <w:t>序号</w:t>
            </w:r>
          </w:p>
        </w:tc>
        <w:tc>
          <w:tcPr>
            <w:tcW w:w="1184" w:type="pct"/>
            <w:tcBorders>
              <w:top w:val="single" w:color="auto" w:sz="4" w:space="0"/>
              <w:left w:val="single" w:color="auto" w:sz="4" w:space="0"/>
              <w:bottom w:val="single" w:color="auto" w:sz="4" w:space="0"/>
              <w:right w:val="single" w:color="auto" w:sz="4" w:space="0"/>
            </w:tcBorders>
            <w:noWrap w:val="0"/>
            <w:vAlign w:val="center"/>
          </w:tcPr>
          <w:p w14:paraId="73B96E8B">
            <w:pPr>
              <w:spacing w:after="60" w:line="360" w:lineRule="auto"/>
              <w:jc w:val="center"/>
              <w:rPr>
                <w:rFonts w:hint="eastAsia" w:ascii="宋体" w:hAnsi="宋体"/>
                <w:b/>
                <w:bCs/>
                <w:snapToGrid w:val="0"/>
                <w:kern w:val="0"/>
                <w:sz w:val="24"/>
                <w:szCs w:val="28"/>
              </w:rPr>
            </w:pPr>
            <w:r>
              <w:rPr>
                <w:rFonts w:hint="eastAsia" w:ascii="宋体" w:hAnsi="宋体"/>
                <w:b/>
                <w:bCs/>
                <w:snapToGrid w:val="0"/>
                <w:kern w:val="0"/>
                <w:sz w:val="24"/>
                <w:szCs w:val="28"/>
              </w:rPr>
              <w:t>条款名称</w:t>
            </w:r>
          </w:p>
        </w:tc>
        <w:tc>
          <w:tcPr>
            <w:tcW w:w="3427" w:type="pct"/>
            <w:gridSpan w:val="2"/>
            <w:tcBorders>
              <w:top w:val="single" w:color="auto" w:sz="4" w:space="0"/>
              <w:left w:val="single" w:color="auto" w:sz="4" w:space="0"/>
              <w:bottom w:val="single" w:color="auto" w:sz="4" w:space="0"/>
              <w:right w:val="single" w:color="auto" w:sz="4" w:space="0"/>
            </w:tcBorders>
            <w:noWrap w:val="0"/>
            <w:vAlign w:val="center"/>
          </w:tcPr>
          <w:p w14:paraId="320FD76D">
            <w:pPr>
              <w:spacing w:after="60" w:line="360" w:lineRule="auto"/>
              <w:jc w:val="center"/>
              <w:rPr>
                <w:rFonts w:hint="eastAsia" w:ascii="宋体" w:hAnsi="宋体"/>
                <w:b/>
                <w:bCs/>
                <w:snapToGrid w:val="0"/>
                <w:kern w:val="0"/>
                <w:sz w:val="24"/>
                <w:szCs w:val="28"/>
              </w:rPr>
            </w:pPr>
            <w:r>
              <w:rPr>
                <w:rFonts w:hint="eastAsia" w:ascii="宋体" w:hAnsi="宋体"/>
                <w:b/>
                <w:bCs/>
                <w:snapToGrid w:val="0"/>
                <w:kern w:val="0"/>
                <w:sz w:val="24"/>
                <w:szCs w:val="28"/>
              </w:rPr>
              <w:t>内  容</w:t>
            </w:r>
          </w:p>
        </w:tc>
      </w:tr>
      <w:tr w14:paraId="16A646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0" w:hRule="atLeast"/>
        </w:trPr>
        <w:tc>
          <w:tcPr>
            <w:tcW w:w="5000" w:type="pct"/>
            <w:gridSpan w:val="4"/>
            <w:tcBorders>
              <w:top w:val="single" w:color="auto" w:sz="4" w:space="0"/>
              <w:left w:val="single" w:color="auto" w:sz="4" w:space="0"/>
              <w:bottom w:val="single" w:color="auto" w:sz="4" w:space="0"/>
              <w:right w:val="single" w:color="auto" w:sz="4" w:space="0"/>
            </w:tcBorders>
            <w:noWrap w:val="0"/>
            <w:vAlign w:val="center"/>
          </w:tcPr>
          <w:p w14:paraId="1BAFDE31">
            <w:pPr>
              <w:spacing w:after="60" w:line="360" w:lineRule="auto"/>
              <w:jc w:val="center"/>
              <w:rPr>
                <w:rFonts w:hint="eastAsia" w:ascii="宋体" w:hAnsi="宋体"/>
                <w:snapToGrid w:val="0"/>
                <w:kern w:val="0"/>
              </w:rPr>
            </w:pPr>
            <w:r>
              <w:rPr>
                <w:rFonts w:hint="eastAsia" w:ascii="宋体" w:hAnsi="宋体"/>
                <w:b/>
                <w:bCs/>
                <w:snapToGrid w:val="0"/>
                <w:kern w:val="0"/>
                <w:sz w:val="24"/>
                <w:szCs w:val="28"/>
              </w:rPr>
              <w:t>1.总则</w:t>
            </w:r>
          </w:p>
        </w:tc>
      </w:tr>
      <w:tr w14:paraId="771D26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6" w:hRule="atLeast"/>
        </w:trPr>
        <w:tc>
          <w:tcPr>
            <w:tcW w:w="387" w:type="pct"/>
            <w:tcBorders>
              <w:top w:val="single" w:color="auto" w:sz="4" w:space="0"/>
              <w:left w:val="single" w:color="auto" w:sz="4" w:space="0"/>
              <w:bottom w:val="single" w:color="auto" w:sz="4" w:space="0"/>
              <w:right w:val="single" w:color="auto" w:sz="4" w:space="0"/>
            </w:tcBorders>
            <w:noWrap w:val="0"/>
            <w:vAlign w:val="center"/>
          </w:tcPr>
          <w:p w14:paraId="700E97C8">
            <w:pPr>
              <w:spacing w:after="60" w:line="360" w:lineRule="auto"/>
              <w:jc w:val="center"/>
              <w:rPr>
                <w:rFonts w:hint="eastAsia" w:ascii="宋体" w:hAnsi="宋体"/>
                <w:snapToGrid w:val="0"/>
                <w:kern w:val="0"/>
                <w:sz w:val="24"/>
                <w:szCs w:val="28"/>
              </w:rPr>
            </w:pPr>
            <w:r>
              <w:rPr>
                <w:rFonts w:hint="eastAsia" w:ascii="宋体" w:hAnsi="宋体"/>
                <w:snapToGrid w:val="0"/>
                <w:kern w:val="0"/>
                <w:sz w:val="24"/>
                <w:szCs w:val="28"/>
              </w:rPr>
              <w:t>1</w:t>
            </w:r>
          </w:p>
        </w:tc>
        <w:tc>
          <w:tcPr>
            <w:tcW w:w="1184" w:type="pct"/>
            <w:tcBorders>
              <w:top w:val="single" w:color="auto" w:sz="4" w:space="0"/>
              <w:left w:val="single" w:color="auto" w:sz="4" w:space="0"/>
              <w:bottom w:val="single" w:color="auto" w:sz="4" w:space="0"/>
              <w:right w:val="single" w:color="auto" w:sz="4" w:space="0"/>
            </w:tcBorders>
            <w:noWrap w:val="0"/>
            <w:vAlign w:val="center"/>
          </w:tcPr>
          <w:p w14:paraId="54FD4ACB">
            <w:pPr>
              <w:spacing w:after="60" w:line="360" w:lineRule="auto"/>
              <w:jc w:val="center"/>
              <w:rPr>
                <w:rFonts w:hint="eastAsia" w:ascii="宋体" w:hAnsi="宋体"/>
                <w:snapToGrid w:val="0"/>
                <w:kern w:val="0"/>
                <w:sz w:val="24"/>
                <w:szCs w:val="28"/>
              </w:rPr>
            </w:pPr>
            <w:r>
              <w:rPr>
                <w:rFonts w:hint="eastAsia" w:ascii="宋体" w:hAnsi="宋体"/>
                <w:snapToGrid w:val="0"/>
                <w:kern w:val="0"/>
                <w:sz w:val="24"/>
                <w:szCs w:val="28"/>
              </w:rPr>
              <w:t>招标方式</w:t>
            </w:r>
          </w:p>
        </w:tc>
        <w:tc>
          <w:tcPr>
            <w:tcW w:w="3427" w:type="pct"/>
            <w:gridSpan w:val="2"/>
            <w:tcBorders>
              <w:top w:val="single" w:color="auto" w:sz="4" w:space="0"/>
              <w:left w:val="single" w:color="auto" w:sz="4" w:space="0"/>
              <w:bottom w:val="single" w:color="auto" w:sz="4" w:space="0"/>
              <w:right w:val="single" w:color="auto" w:sz="4" w:space="0"/>
            </w:tcBorders>
            <w:noWrap w:val="0"/>
            <w:vAlign w:val="center"/>
          </w:tcPr>
          <w:p w14:paraId="6BEA3403">
            <w:pPr>
              <w:spacing w:after="60" w:line="360" w:lineRule="auto"/>
              <w:rPr>
                <w:rFonts w:hint="eastAsia" w:ascii="宋体" w:hAnsi="宋体"/>
                <w:snapToGrid w:val="0"/>
                <w:kern w:val="0"/>
                <w:sz w:val="24"/>
                <w:szCs w:val="28"/>
              </w:rPr>
            </w:pPr>
            <w:r>
              <w:rPr>
                <w:rFonts w:hint="eastAsia" w:ascii="宋体" w:hAnsi="宋体"/>
                <w:snapToGrid w:val="0"/>
                <w:kern w:val="0"/>
                <w:sz w:val="24"/>
                <w:szCs w:val="28"/>
              </w:rPr>
              <w:t>公开招标</w:t>
            </w:r>
          </w:p>
        </w:tc>
      </w:tr>
      <w:tr w14:paraId="314F26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6" w:hRule="atLeast"/>
        </w:trPr>
        <w:tc>
          <w:tcPr>
            <w:tcW w:w="387" w:type="pct"/>
            <w:tcBorders>
              <w:top w:val="single" w:color="auto" w:sz="4" w:space="0"/>
              <w:left w:val="single" w:color="auto" w:sz="4" w:space="0"/>
              <w:bottom w:val="single" w:color="auto" w:sz="4" w:space="0"/>
              <w:right w:val="single" w:color="auto" w:sz="4" w:space="0"/>
            </w:tcBorders>
            <w:noWrap w:val="0"/>
            <w:vAlign w:val="center"/>
          </w:tcPr>
          <w:p w14:paraId="2ABAC9F5">
            <w:pPr>
              <w:spacing w:after="60" w:line="360" w:lineRule="auto"/>
              <w:jc w:val="center"/>
              <w:rPr>
                <w:rFonts w:hint="eastAsia" w:ascii="宋体" w:hAnsi="宋体"/>
                <w:snapToGrid w:val="0"/>
                <w:kern w:val="0"/>
                <w:sz w:val="24"/>
                <w:szCs w:val="28"/>
              </w:rPr>
            </w:pPr>
            <w:r>
              <w:rPr>
                <w:rFonts w:hint="eastAsia" w:ascii="宋体" w:hAnsi="宋体"/>
                <w:snapToGrid w:val="0"/>
                <w:kern w:val="0"/>
                <w:sz w:val="24"/>
                <w:szCs w:val="28"/>
              </w:rPr>
              <w:t>2</w:t>
            </w:r>
          </w:p>
        </w:tc>
        <w:tc>
          <w:tcPr>
            <w:tcW w:w="1184" w:type="pct"/>
            <w:tcBorders>
              <w:top w:val="single" w:color="auto" w:sz="4" w:space="0"/>
              <w:left w:val="single" w:color="auto" w:sz="4" w:space="0"/>
              <w:bottom w:val="single" w:color="auto" w:sz="4" w:space="0"/>
              <w:right w:val="single" w:color="auto" w:sz="4" w:space="0"/>
            </w:tcBorders>
            <w:noWrap w:val="0"/>
            <w:vAlign w:val="center"/>
          </w:tcPr>
          <w:p w14:paraId="3602BAFE">
            <w:pPr>
              <w:spacing w:after="60" w:line="360" w:lineRule="auto"/>
              <w:jc w:val="center"/>
              <w:rPr>
                <w:rFonts w:hint="eastAsia" w:ascii="宋体" w:hAnsi="宋体"/>
                <w:snapToGrid w:val="0"/>
                <w:kern w:val="0"/>
                <w:sz w:val="24"/>
                <w:szCs w:val="28"/>
              </w:rPr>
            </w:pPr>
            <w:r>
              <w:rPr>
                <w:rFonts w:hint="eastAsia" w:ascii="宋体" w:hAnsi="宋体"/>
                <w:snapToGrid w:val="0"/>
                <w:kern w:val="0"/>
                <w:sz w:val="24"/>
                <w:szCs w:val="28"/>
              </w:rPr>
              <w:t>采购人</w:t>
            </w:r>
          </w:p>
        </w:tc>
        <w:tc>
          <w:tcPr>
            <w:tcW w:w="3427" w:type="pct"/>
            <w:gridSpan w:val="2"/>
            <w:tcBorders>
              <w:top w:val="single" w:color="auto" w:sz="4" w:space="0"/>
              <w:left w:val="single" w:color="auto" w:sz="4" w:space="0"/>
              <w:bottom w:val="single" w:color="auto" w:sz="4" w:space="0"/>
              <w:right w:val="single" w:color="auto" w:sz="4" w:space="0"/>
            </w:tcBorders>
            <w:noWrap w:val="0"/>
            <w:vAlign w:val="center"/>
          </w:tcPr>
          <w:p w14:paraId="0135C2BC">
            <w:pPr>
              <w:spacing w:after="60" w:line="360" w:lineRule="auto"/>
              <w:rPr>
                <w:rFonts w:hint="eastAsia" w:ascii="宋体" w:hAnsi="宋体"/>
                <w:snapToGrid w:val="0"/>
                <w:kern w:val="0"/>
                <w:sz w:val="24"/>
                <w:szCs w:val="28"/>
              </w:rPr>
            </w:pPr>
            <w:r>
              <w:rPr>
                <w:rFonts w:hint="eastAsia" w:ascii="宋体" w:hAnsi="宋体"/>
                <w:snapToGrid w:val="0"/>
                <w:kern w:val="0"/>
                <w:sz w:val="24"/>
                <w:szCs w:val="28"/>
              </w:rPr>
              <w:t>名　称：深圳市龙华区中心医院</w:t>
            </w:r>
          </w:p>
          <w:p w14:paraId="6CAFE8BB">
            <w:pPr>
              <w:spacing w:after="60" w:line="360" w:lineRule="auto"/>
              <w:rPr>
                <w:rFonts w:hint="eastAsia" w:ascii="宋体" w:hAnsi="宋体"/>
                <w:snapToGrid w:val="0"/>
                <w:kern w:val="0"/>
                <w:sz w:val="24"/>
                <w:szCs w:val="28"/>
              </w:rPr>
            </w:pPr>
            <w:r>
              <w:rPr>
                <w:rFonts w:hint="eastAsia" w:ascii="宋体" w:hAnsi="宋体"/>
                <w:snapToGrid w:val="0"/>
                <w:kern w:val="0"/>
                <w:sz w:val="24"/>
                <w:szCs w:val="28"/>
              </w:rPr>
              <w:t>联系人：蒋工</w:t>
            </w:r>
          </w:p>
          <w:p w14:paraId="32B19A5C">
            <w:pPr>
              <w:spacing w:after="60" w:line="360" w:lineRule="auto"/>
              <w:rPr>
                <w:rFonts w:hint="eastAsia" w:ascii="宋体" w:hAnsi="宋体"/>
                <w:snapToGrid w:val="0"/>
                <w:kern w:val="0"/>
                <w:sz w:val="24"/>
                <w:szCs w:val="28"/>
              </w:rPr>
            </w:pPr>
            <w:r>
              <w:rPr>
                <w:rFonts w:hint="eastAsia" w:ascii="宋体" w:hAnsi="宋体"/>
                <w:snapToGrid w:val="0"/>
                <w:kern w:val="0"/>
                <w:sz w:val="24"/>
                <w:szCs w:val="28"/>
              </w:rPr>
              <w:t>联系方式：13714227612</w:t>
            </w:r>
          </w:p>
        </w:tc>
      </w:tr>
      <w:tr w14:paraId="3A5FF4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6" w:hRule="atLeast"/>
        </w:trPr>
        <w:tc>
          <w:tcPr>
            <w:tcW w:w="387" w:type="pct"/>
            <w:tcBorders>
              <w:top w:val="single" w:color="auto" w:sz="4" w:space="0"/>
              <w:left w:val="single" w:color="auto" w:sz="4" w:space="0"/>
              <w:bottom w:val="single" w:color="auto" w:sz="4" w:space="0"/>
              <w:right w:val="single" w:color="auto" w:sz="4" w:space="0"/>
            </w:tcBorders>
            <w:noWrap w:val="0"/>
            <w:vAlign w:val="center"/>
          </w:tcPr>
          <w:p w14:paraId="486B7DE3">
            <w:pPr>
              <w:spacing w:after="60" w:line="360" w:lineRule="auto"/>
              <w:jc w:val="center"/>
              <w:rPr>
                <w:rFonts w:hint="eastAsia" w:ascii="宋体" w:hAnsi="宋体"/>
                <w:snapToGrid w:val="0"/>
                <w:kern w:val="0"/>
                <w:sz w:val="24"/>
                <w:szCs w:val="28"/>
              </w:rPr>
            </w:pPr>
            <w:r>
              <w:rPr>
                <w:rFonts w:hint="eastAsia" w:ascii="宋体" w:hAnsi="宋体"/>
                <w:snapToGrid w:val="0"/>
                <w:kern w:val="0"/>
                <w:sz w:val="24"/>
                <w:szCs w:val="28"/>
              </w:rPr>
              <w:t>3</w:t>
            </w:r>
          </w:p>
        </w:tc>
        <w:tc>
          <w:tcPr>
            <w:tcW w:w="1184" w:type="pct"/>
            <w:tcBorders>
              <w:top w:val="single" w:color="auto" w:sz="4" w:space="0"/>
              <w:left w:val="single" w:color="auto" w:sz="4" w:space="0"/>
              <w:bottom w:val="single" w:color="auto" w:sz="4" w:space="0"/>
              <w:right w:val="single" w:color="auto" w:sz="4" w:space="0"/>
            </w:tcBorders>
            <w:noWrap w:val="0"/>
            <w:vAlign w:val="center"/>
          </w:tcPr>
          <w:p w14:paraId="7A5F4D14">
            <w:pPr>
              <w:spacing w:after="60" w:line="360" w:lineRule="auto"/>
              <w:jc w:val="center"/>
              <w:rPr>
                <w:rFonts w:hint="eastAsia" w:ascii="宋体" w:hAnsi="宋体"/>
                <w:snapToGrid w:val="0"/>
                <w:kern w:val="0"/>
                <w:sz w:val="24"/>
                <w:szCs w:val="28"/>
              </w:rPr>
            </w:pPr>
            <w:r>
              <w:rPr>
                <w:rFonts w:hint="eastAsia" w:ascii="宋体" w:hAnsi="宋体"/>
                <w:snapToGrid w:val="0"/>
                <w:kern w:val="0"/>
                <w:sz w:val="24"/>
                <w:szCs w:val="28"/>
              </w:rPr>
              <w:t>采购代理机构</w:t>
            </w:r>
          </w:p>
        </w:tc>
        <w:tc>
          <w:tcPr>
            <w:tcW w:w="3427" w:type="pct"/>
            <w:gridSpan w:val="2"/>
            <w:tcBorders>
              <w:top w:val="single" w:color="auto" w:sz="4" w:space="0"/>
              <w:left w:val="single" w:color="auto" w:sz="4" w:space="0"/>
              <w:bottom w:val="single" w:color="auto" w:sz="4" w:space="0"/>
              <w:right w:val="single" w:color="auto" w:sz="4" w:space="0"/>
            </w:tcBorders>
            <w:noWrap w:val="0"/>
            <w:vAlign w:val="center"/>
          </w:tcPr>
          <w:p w14:paraId="5FC23521">
            <w:pPr>
              <w:spacing w:after="60" w:line="360" w:lineRule="auto"/>
              <w:rPr>
                <w:rFonts w:hint="eastAsia" w:ascii="宋体" w:hAnsi="宋体" w:eastAsia="宋体"/>
                <w:snapToGrid w:val="0"/>
                <w:kern w:val="0"/>
                <w:sz w:val="24"/>
                <w:szCs w:val="28"/>
                <w:lang w:val="zh-CN" w:eastAsia="zh-CN"/>
              </w:rPr>
            </w:pPr>
            <w:r>
              <w:rPr>
                <w:rFonts w:hint="eastAsia" w:ascii="宋体" w:hAnsi="宋体"/>
                <w:snapToGrid w:val="0"/>
                <w:kern w:val="0"/>
                <w:sz w:val="24"/>
                <w:szCs w:val="28"/>
                <w:lang w:val="zh-CN"/>
              </w:rPr>
              <w:t>采购代理机构：</w:t>
            </w:r>
            <w:r>
              <w:rPr>
                <w:rFonts w:hint="eastAsia" w:ascii="宋体" w:hAnsi="宋体"/>
                <w:sz w:val="24"/>
                <w:szCs w:val="28"/>
                <w:lang w:eastAsia="zh-CN"/>
              </w:rPr>
              <w:t>深圳信德招标服务有限公司</w:t>
            </w:r>
          </w:p>
          <w:p w14:paraId="0F5483F9">
            <w:pPr>
              <w:spacing w:after="60" w:line="360" w:lineRule="auto"/>
              <w:rPr>
                <w:rFonts w:hint="eastAsia" w:ascii="宋体" w:hAnsi="宋体"/>
                <w:highlight w:val="yellow"/>
              </w:rPr>
            </w:pPr>
            <w:r>
              <w:rPr>
                <w:rFonts w:hint="eastAsia" w:ascii="宋体" w:hAnsi="宋体"/>
                <w:sz w:val="24"/>
                <w:szCs w:val="28"/>
              </w:rPr>
              <w:t>地　址：</w:t>
            </w:r>
            <w:r>
              <w:rPr>
                <w:rFonts w:hint="eastAsia" w:ascii="宋体" w:hAnsi="宋体" w:eastAsia="宋体" w:cs="Times New Roman"/>
                <w:sz w:val="24"/>
                <w:szCs w:val="28"/>
                <w:lang w:val="en-US" w:eastAsia="zh-CN"/>
              </w:rPr>
              <w:t>深圳市福田区沙头街道天安社区泰然八路33号云松大厦十层10E</w:t>
            </w:r>
          </w:p>
          <w:p w14:paraId="2CBC73A9">
            <w:pPr>
              <w:spacing w:after="60" w:line="360" w:lineRule="auto"/>
              <w:rPr>
                <w:rFonts w:hint="eastAsia" w:ascii="宋体" w:hAnsi="宋体"/>
                <w:snapToGrid w:val="0"/>
                <w:kern w:val="0"/>
                <w:sz w:val="24"/>
                <w:szCs w:val="28"/>
              </w:rPr>
            </w:pPr>
            <w:r>
              <w:rPr>
                <w:rFonts w:hint="eastAsia" w:ascii="宋体" w:hAnsi="宋体"/>
                <w:snapToGrid w:val="0"/>
                <w:kern w:val="0"/>
                <w:sz w:val="24"/>
                <w:szCs w:val="28"/>
                <w:lang w:val="zh-CN"/>
              </w:rPr>
              <w:t>联系人：</w:t>
            </w:r>
            <w:r>
              <w:rPr>
                <w:rFonts w:hint="eastAsia" w:ascii="宋体" w:hAnsi="宋体"/>
                <w:snapToGrid w:val="0"/>
                <w:kern w:val="0"/>
                <w:sz w:val="24"/>
                <w:szCs w:val="28"/>
                <w:lang w:val="en-US" w:eastAsia="zh-CN"/>
              </w:rPr>
              <w:t>向工</w:t>
            </w:r>
          </w:p>
          <w:p w14:paraId="30B62D4C">
            <w:pPr>
              <w:spacing w:after="60" w:line="360" w:lineRule="auto"/>
              <w:rPr>
                <w:rFonts w:hint="default" w:ascii="宋体" w:hAnsi="宋体" w:eastAsia="宋体"/>
                <w:snapToGrid w:val="0"/>
                <w:kern w:val="0"/>
                <w:sz w:val="24"/>
                <w:szCs w:val="28"/>
                <w:lang w:val="en-US" w:eastAsia="zh-CN"/>
              </w:rPr>
            </w:pPr>
            <w:r>
              <w:rPr>
                <w:rFonts w:hint="eastAsia" w:ascii="宋体" w:hAnsi="宋体"/>
                <w:snapToGrid w:val="0"/>
                <w:kern w:val="0"/>
                <w:sz w:val="24"/>
                <w:szCs w:val="28"/>
                <w:lang w:val="zh-CN"/>
              </w:rPr>
              <w:t>电话：</w:t>
            </w:r>
            <w:r>
              <w:rPr>
                <w:rFonts w:hint="eastAsia" w:ascii="宋体" w:hAnsi="宋体"/>
                <w:sz w:val="24"/>
                <w:szCs w:val="28"/>
                <w:lang w:val="en-US" w:eastAsia="zh-CN"/>
              </w:rPr>
              <w:t>13823369687</w:t>
            </w:r>
          </w:p>
        </w:tc>
      </w:tr>
      <w:tr w14:paraId="077065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6" w:hRule="atLeast"/>
        </w:trPr>
        <w:tc>
          <w:tcPr>
            <w:tcW w:w="387" w:type="pct"/>
            <w:tcBorders>
              <w:top w:val="single" w:color="auto" w:sz="4" w:space="0"/>
              <w:left w:val="single" w:color="auto" w:sz="4" w:space="0"/>
              <w:bottom w:val="single" w:color="auto" w:sz="4" w:space="0"/>
              <w:right w:val="single" w:color="auto" w:sz="4" w:space="0"/>
            </w:tcBorders>
            <w:noWrap w:val="0"/>
            <w:vAlign w:val="center"/>
          </w:tcPr>
          <w:p w14:paraId="1041D150">
            <w:pPr>
              <w:spacing w:after="60" w:line="360" w:lineRule="auto"/>
              <w:jc w:val="center"/>
              <w:rPr>
                <w:rFonts w:hint="eastAsia" w:ascii="宋体" w:hAnsi="宋体"/>
                <w:snapToGrid w:val="0"/>
                <w:kern w:val="0"/>
                <w:sz w:val="24"/>
                <w:szCs w:val="28"/>
              </w:rPr>
            </w:pPr>
            <w:r>
              <w:rPr>
                <w:rFonts w:hint="eastAsia" w:ascii="宋体" w:hAnsi="宋体"/>
                <w:snapToGrid w:val="0"/>
                <w:kern w:val="0"/>
                <w:sz w:val="24"/>
                <w:szCs w:val="28"/>
              </w:rPr>
              <w:t>4</w:t>
            </w:r>
          </w:p>
        </w:tc>
        <w:tc>
          <w:tcPr>
            <w:tcW w:w="1184" w:type="pct"/>
            <w:tcBorders>
              <w:top w:val="single" w:color="auto" w:sz="4" w:space="0"/>
              <w:left w:val="single" w:color="auto" w:sz="4" w:space="0"/>
              <w:bottom w:val="single" w:color="auto" w:sz="4" w:space="0"/>
              <w:right w:val="single" w:color="auto" w:sz="4" w:space="0"/>
            </w:tcBorders>
            <w:noWrap w:val="0"/>
            <w:vAlign w:val="center"/>
          </w:tcPr>
          <w:p w14:paraId="0DE53507">
            <w:pPr>
              <w:spacing w:after="60" w:line="360" w:lineRule="auto"/>
              <w:jc w:val="center"/>
              <w:rPr>
                <w:rFonts w:hint="eastAsia" w:ascii="宋体" w:hAnsi="宋体"/>
                <w:snapToGrid w:val="0"/>
                <w:kern w:val="0"/>
                <w:sz w:val="24"/>
                <w:szCs w:val="28"/>
              </w:rPr>
            </w:pPr>
            <w:r>
              <w:rPr>
                <w:rFonts w:hint="eastAsia" w:ascii="宋体" w:hAnsi="宋体"/>
                <w:snapToGrid w:val="0"/>
                <w:kern w:val="0"/>
                <w:sz w:val="24"/>
                <w:szCs w:val="28"/>
              </w:rPr>
              <w:t>项目名称及编号</w:t>
            </w:r>
          </w:p>
        </w:tc>
        <w:tc>
          <w:tcPr>
            <w:tcW w:w="3427" w:type="pct"/>
            <w:gridSpan w:val="2"/>
            <w:tcBorders>
              <w:top w:val="single" w:color="auto" w:sz="4" w:space="0"/>
              <w:left w:val="single" w:color="auto" w:sz="4" w:space="0"/>
              <w:bottom w:val="single" w:color="auto" w:sz="4" w:space="0"/>
              <w:right w:val="single" w:color="auto" w:sz="4" w:space="0"/>
            </w:tcBorders>
            <w:noWrap w:val="0"/>
            <w:vAlign w:val="center"/>
          </w:tcPr>
          <w:p w14:paraId="0B4B980D">
            <w:pPr>
              <w:spacing w:after="60" w:line="360" w:lineRule="auto"/>
              <w:rPr>
                <w:rFonts w:hint="eastAsia" w:ascii="宋体" w:hAnsi="宋体" w:eastAsia="宋体" w:cs="宋体"/>
                <w:sz w:val="24"/>
                <w:lang w:eastAsia="zh-CN"/>
              </w:rPr>
            </w:pPr>
            <w:r>
              <w:rPr>
                <w:rFonts w:hint="eastAsia" w:ascii="宋体" w:hAnsi="宋体" w:cs="宋体"/>
                <w:sz w:val="24"/>
              </w:rPr>
              <w:t>项目名称：</w:t>
            </w:r>
            <w:r>
              <w:rPr>
                <w:rFonts w:hint="eastAsia" w:ascii="宋体" w:hAnsi="宋体" w:cs="宋体"/>
                <w:sz w:val="24"/>
                <w:lang w:eastAsia="zh-CN"/>
              </w:rPr>
              <w:t>龙华区中心医院陪护工驻点服务招标项目</w:t>
            </w:r>
          </w:p>
          <w:p w14:paraId="76E6A315">
            <w:pPr>
              <w:spacing w:after="60" w:line="360" w:lineRule="auto"/>
              <w:rPr>
                <w:rFonts w:hint="eastAsia" w:ascii="宋体" w:hAnsi="宋体" w:eastAsia="宋体"/>
                <w:snapToGrid w:val="0"/>
                <w:kern w:val="0"/>
                <w:sz w:val="24"/>
                <w:szCs w:val="28"/>
                <w:lang w:eastAsia="zh-CN"/>
              </w:rPr>
            </w:pPr>
            <w:r>
              <w:rPr>
                <w:rFonts w:hint="eastAsia" w:ascii="宋体" w:hAnsi="宋体" w:cs="宋体"/>
                <w:sz w:val="24"/>
              </w:rPr>
              <w:t>项目编号：XDZB20260226001</w:t>
            </w:r>
          </w:p>
        </w:tc>
      </w:tr>
      <w:tr w14:paraId="2CE038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6" w:hRule="atLeast"/>
        </w:trPr>
        <w:tc>
          <w:tcPr>
            <w:tcW w:w="387" w:type="pct"/>
            <w:tcBorders>
              <w:top w:val="single" w:color="auto" w:sz="4" w:space="0"/>
              <w:left w:val="single" w:color="auto" w:sz="4" w:space="0"/>
              <w:bottom w:val="single" w:color="auto" w:sz="4" w:space="0"/>
              <w:right w:val="single" w:color="auto" w:sz="4" w:space="0"/>
            </w:tcBorders>
            <w:noWrap w:val="0"/>
            <w:vAlign w:val="center"/>
          </w:tcPr>
          <w:p w14:paraId="3A91CB5F">
            <w:pPr>
              <w:spacing w:after="60" w:line="360" w:lineRule="auto"/>
              <w:jc w:val="center"/>
              <w:rPr>
                <w:rFonts w:hint="eastAsia" w:ascii="宋体" w:hAnsi="宋体"/>
                <w:snapToGrid w:val="0"/>
                <w:kern w:val="0"/>
                <w:sz w:val="24"/>
                <w:szCs w:val="28"/>
              </w:rPr>
            </w:pPr>
            <w:r>
              <w:rPr>
                <w:rFonts w:hint="eastAsia" w:ascii="宋体" w:hAnsi="宋体"/>
                <w:snapToGrid w:val="0"/>
                <w:kern w:val="0"/>
                <w:sz w:val="24"/>
                <w:szCs w:val="28"/>
              </w:rPr>
              <w:t>5</w:t>
            </w:r>
          </w:p>
        </w:tc>
        <w:tc>
          <w:tcPr>
            <w:tcW w:w="1184" w:type="pct"/>
            <w:tcBorders>
              <w:top w:val="single" w:color="auto" w:sz="4" w:space="0"/>
              <w:left w:val="single" w:color="auto" w:sz="4" w:space="0"/>
              <w:bottom w:val="single" w:color="auto" w:sz="4" w:space="0"/>
              <w:right w:val="single" w:color="auto" w:sz="4" w:space="0"/>
            </w:tcBorders>
            <w:noWrap w:val="0"/>
            <w:vAlign w:val="center"/>
          </w:tcPr>
          <w:p w14:paraId="17E3D01F">
            <w:pPr>
              <w:spacing w:after="60" w:line="360" w:lineRule="auto"/>
              <w:jc w:val="center"/>
              <w:rPr>
                <w:rFonts w:hint="eastAsia" w:ascii="宋体" w:hAnsi="宋体"/>
                <w:snapToGrid w:val="0"/>
                <w:kern w:val="0"/>
                <w:sz w:val="24"/>
                <w:szCs w:val="28"/>
              </w:rPr>
            </w:pPr>
            <w:r>
              <w:rPr>
                <w:rFonts w:hint="eastAsia" w:ascii="宋体" w:hAnsi="宋体"/>
                <w:snapToGrid w:val="0"/>
                <w:kern w:val="0"/>
                <w:sz w:val="24"/>
                <w:szCs w:val="28"/>
              </w:rPr>
              <w:t>实施地点</w:t>
            </w:r>
          </w:p>
        </w:tc>
        <w:tc>
          <w:tcPr>
            <w:tcW w:w="3427" w:type="pct"/>
            <w:gridSpan w:val="2"/>
            <w:tcBorders>
              <w:top w:val="single" w:color="auto" w:sz="4" w:space="0"/>
              <w:left w:val="single" w:color="auto" w:sz="4" w:space="0"/>
              <w:bottom w:val="single" w:color="auto" w:sz="4" w:space="0"/>
              <w:right w:val="single" w:color="auto" w:sz="4" w:space="0"/>
            </w:tcBorders>
            <w:noWrap w:val="0"/>
            <w:vAlign w:val="center"/>
          </w:tcPr>
          <w:p w14:paraId="50E62D89">
            <w:pPr>
              <w:spacing w:after="60" w:line="360" w:lineRule="auto"/>
              <w:rPr>
                <w:rFonts w:hint="eastAsia" w:ascii="宋体" w:hAnsi="宋体"/>
                <w:snapToGrid w:val="0"/>
                <w:kern w:val="0"/>
                <w:sz w:val="24"/>
                <w:szCs w:val="28"/>
              </w:rPr>
            </w:pPr>
            <w:r>
              <w:rPr>
                <w:rFonts w:hint="eastAsia" w:ascii="宋体" w:hAnsi="宋体"/>
                <w:snapToGrid w:val="0"/>
                <w:kern w:val="0"/>
                <w:sz w:val="24"/>
                <w:szCs w:val="28"/>
              </w:rPr>
              <w:t>采购人指定地点</w:t>
            </w:r>
          </w:p>
        </w:tc>
      </w:tr>
      <w:tr w14:paraId="746711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6" w:hRule="atLeast"/>
        </w:trPr>
        <w:tc>
          <w:tcPr>
            <w:tcW w:w="387" w:type="pct"/>
            <w:tcBorders>
              <w:top w:val="single" w:color="auto" w:sz="4" w:space="0"/>
              <w:left w:val="single" w:color="auto" w:sz="4" w:space="0"/>
              <w:bottom w:val="single" w:color="auto" w:sz="4" w:space="0"/>
              <w:right w:val="single" w:color="auto" w:sz="4" w:space="0"/>
            </w:tcBorders>
            <w:noWrap w:val="0"/>
            <w:vAlign w:val="center"/>
          </w:tcPr>
          <w:p w14:paraId="0B692C6C">
            <w:pPr>
              <w:spacing w:after="60" w:line="360" w:lineRule="auto"/>
              <w:jc w:val="center"/>
              <w:rPr>
                <w:rFonts w:hint="eastAsia" w:ascii="宋体" w:hAnsi="宋体"/>
                <w:snapToGrid w:val="0"/>
                <w:kern w:val="0"/>
                <w:sz w:val="24"/>
                <w:szCs w:val="28"/>
              </w:rPr>
            </w:pPr>
            <w:r>
              <w:rPr>
                <w:rFonts w:hint="eastAsia" w:ascii="宋体" w:hAnsi="宋体"/>
                <w:snapToGrid w:val="0"/>
                <w:kern w:val="0"/>
                <w:sz w:val="24"/>
                <w:szCs w:val="28"/>
              </w:rPr>
              <w:t>6</w:t>
            </w:r>
          </w:p>
        </w:tc>
        <w:tc>
          <w:tcPr>
            <w:tcW w:w="1184" w:type="pct"/>
            <w:tcBorders>
              <w:top w:val="single" w:color="auto" w:sz="4" w:space="0"/>
              <w:left w:val="single" w:color="auto" w:sz="4" w:space="0"/>
              <w:bottom w:val="single" w:color="auto" w:sz="4" w:space="0"/>
              <w:right w:val="single" w:color="auto" w:sz="4" w:space="0"/>
            </w:tcBorders>
            <w:noWrap w:val="0"/>
            <w:vAlign w:val="center"/>
          </w:tcPr>
          <w:p w14:paraId="1325DB9D">
            <w:pPr>
              <w:spacing w:after="60" w:line="360" w:lineRule="auto"/>
              <w:jc w:val="center"/>
              <w:rPr>
                <w:rFonts w:hint="eastAsia" w:ascii="宋体" w:hAnsi="宋体"/>
                <w:snapToGrid w:val="0"/>
                <w:kern w:val="0"/>
                <w:sz w:val="24"/>
                <w:szCs w:val="28"/>
              </w:rPr>
            </w:pPr>
            <w:r>
              <w:rPr>
                <w:rFonts w:hint="eastAsia" w:ascii="宋体" w:hAnsi="宋体"/>
                <w:snapToGrid w:val="0"/>
                <w:kern w:val="0"/>
                <w:sz w:val="24"/>
                <w:szCs w:val="28"/>
              </w:rPr>
              <w:t>项目内容</w:t>
            </w:r>
          </w:p>
        </w:tc>
        <w:tc>
          <w:tcPr>
            <w:tcW w:w="3427" w:type="pct"/>
            <w:gridSpan w:val="2"/>
            <w:tcBorders>
              <w:top w:val="single" w:color="auto" w:sz="4" w:space="0"/>
              <w:left w:val="single" w:color="auto" w:sz="4" w:space="0"/>
              <w:bottom w:val="single" w:color="auto" w:sz="4" w:space="0"/>
              <w:right w:val="single" w:color="auto" w:sz="4" w:space="0"/>
            </w:tcBorders>
            <w:noWrap w:val="0"/>
            <w:vAlign w:val="center"/>
          </w:tcPr>
          <w:p w14:paraId="02272208">
            <w:pPr>
              <w:spacing w:after="60" w:line="360" w:lineRule="auto"/>
              <w:rPr>
                <w:rFonts w:hint="eastAsia" w:ascii="宋体" w:hAnsi="宋体"/>
                <w:snapToGrid w:val="0"/>
                <w:kern w:val="0"/>
                <w:sz w:val="24"/>
                <w:szCs w:val="28"/>
              </w:rPr>
            </w:pPr>
            <w:r>
              <w:rPr>
                <w:rFonts w:hint="eastAsia" w:ascii="宋体" w:hAnsi="宋体"/>
                <w:snapToGrid w:val="0"/>
                <w:kern w:val="0"/>
                <w:sz w:val="24"/>
                <w:szCs w:val="28"/>
              </w:rPr>
              <w:t>详见</w:t>
            </w:r>
            <w:r>
              <w:rPr>
                <w:rFonts w:hint="eastAsia" w:ascii="宋体" w:hAnsi="宋体"/>
                <w:snapToGrid w:val="0"/>
                <w:kern w:val="0"/>
                <w:sz w:val="24"/>
                <w:szCs w:val="28"/>
                <w:lang w:val="en-US" w:eastAsia="zh-CN"/>
              </w:rPr>
              <w:t xml:space="preserve">第一册专用条款 </w:t>
            </w:r>
            <w:r>
              <w:rPr>
                <w:rFonts w:hint="eastAsia" w:ascii="宋体" w:hAnsi="宋体"/>
                <w:snapToGrid w:val="0"/>
                <w:kern w:val="0"/>
                <w:sz w:val="24"/>
                <w:szCs w:val="28"/>
              </w:rPr>
              <w:t>第</w:t>
            </w:r>
            <w:r>
              <w:rPr>
                <w:rFonts w:hint="eastAsia" w:ascii="宋体" w:hAnsi="宋体"/>
                <w:snapToGrid w:val="0"/>
                <w:kern w:val="0"/>
                <w:sz w:val="24"/>
                <w:szCs w:val="28"/>
                <w:lang w:val="en-US" w:eastAsia="zh-CN"/>
              </w:rPr>
              <w:t>三</w:t>
            </w:r>
            <w:r>
              <w:rPr>
                <w:rFonts w:hint="eastAsia" w:ascii="宋体" w:hAnsi="宋体"/>
                <w:snapToGrid w:val="0"/>
                <w:kern w:val="0"/>
                <w:sz w:val="24"/>
                <w:szCs w:val="28"/>
              </w:rPr>
              <w:t>章 项目需求书</w:t>
            </w:r>
          </w:p>
        </w:tc>
      </w:tr>
      <w:tr w14:paraId="2E56E8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6" w:hRule="atLeast"/>
        </w:trPr>
        <w:tc>
          <w:tcPr>
            <w:tcW w:w="387" w:type="pct"/>
            <w:tcBorders>
              <w:top w:val="single" w:color="auto" w:sz="4" w:space="0"/>
              <w:left w:val="single" w:color="auto" w:sz="4" w:space="0"/>
              <w:bottom w:val="single" w:color="auto" w:sz="4" w:space="0"/>
              <w:right w:val="single" w:color="auto" w:sz="4" w:space="0"/>
            </w:tcBorders>
            <w:noWrap w:val="0"/>
            <w:vAlign w:val="center"/>
          </w:tcPr>
          <w:p w14:paraId="20A5CBA3">
            <w:pPr>
              <w:spacing w:after="60" w:line="360" w:lineRule="auto"/>
              <w:jc w:val="center"/>
              <w:rPr>
                <w:rFonts w:hint="eastAsia" w:ascii="宋体" w:hAnsi="宋体"/>
                <w:snapToGrid w:val="0"/>
                <w:kern w:val="0"/>
                <w:sz w:val="24"/>
                <w:szCs w:val="28"/>
              </w:rPr>
            </w:pPr>
            <w:r>
              <w:rPr>
                <w:rFonts w:hint="eastAsia" w:ascii="宋体" w:hAnsi="宋体"/>
                <w:snapToGrid w:val="0"/>
                <w:kern w:val="0"/>
                <w:sz w:val="24"/>
                <w:szCs w:val="28"/>
              </w:rPr>
              <w:t>7</w:t>
            </w:r>
          </w:p>
        </w:tc>
        <w:tc>
          <w:tcPr>
            <w:tcW w:w="1184" w:type="pct"/>
            <w:tcBorders>
              <w:top w:val="single" w:color="auto" w:sz="4" w:space="0"/>
              <w:left w:val="single" w:color="auto" w:sz="4" w:space="0"/>
              <w:bottom w:val="single" w:color="auto" w:sz="4" w:space="0"/>
              <w:right w:val="single" w:color="auto" w:sz="4" w:space="0"/>
            </w:tcBorders>
            <w:noWrap w:val="0"/>
            <w:vAlign w:val="center"/>
          </w:tcPr>
          <w:p w14:paraId="5F4D3248">
            <w:pPr>
              <w:spacing w:after="60" w:line="360" w:lineRule="auto"/>
              <w:jc w:val="center"/>
              <w:rPr>
                <w:rFonts w:hint="eastAsia" w:ascii="宋体" w:hAnsi="宋体"/>
                <w:snapToGrid w:val="0"/>
                <w:kern w:val="0"/>
                <w:sz w:val="24"/>
                <w:szCs w:val="28"/>
              </w:rPr>
            </w:pPr>
            <w:r>
              <w:rPr>
                <w:rFonts w:hint="eastAsia" w:ascii="宋体" w:hAnsi="宋体"/>
                <w:snapToGrid w:val="0"/>
                <w:kern w:val="0"/>
                <w:sz w:val="24"/>
                <w:szCs w:val="28"/>
              </w:rPr>
              <w:t>信息发布媒体</w:t>
            </w:r>
          </w:p>
        </w:tc>
        <w:tc>
          <w:tcPr>
            <w:tcW w:w="3427" w:type="pct"/>
            <w:gridSpan w:val="2"/>
            <w:tcBorders>
              <w:top w:val="single" w:color="auto" w:sz="4" w:space="0"/>
              <w:left w:val="single" w:color="auto" w:sz="4" w:space="0"/>
              <w:bottom w:val="single" w:color="auto" w:sz="4" w:space="0"/>
              <w:right w:val="single" w:color="auto" w:sz="4" w:space="0"/>
            </w:tcBorders>
            <w:noWrap w:val="0"/>
            <w:vAlign w:val="center"/>
          </w:tcPr>
          <w:p w14:paraId="725E2D52">
            <w:pPr>
              <w:spacing w:after="60" w:line="360" w:lineRule="auto"/>
              <w:rPr>
                <w:rFonts w:hint="eastAsia" w:ascii="宋体" w:hAnsi="宋体"/>
                <w:snapToGrid w:val="0"/>
                <w:kern w:val="0"/>
                <w:sz w:val="24"/>
                <w:szCs w:val="28"/>
              </w:rPr>
            </w:pPr>
            <w:r>
              <w:rPr>
                <w:rFonts w:hint="eastAsia" w:ascii="宋体" w:hAnsi="宋体"/>
                <w:snapToGrid w:val="0"/>
                <w:kern w:val="0"/>
                <w:sz w:val="24"/>
                <w:szCs w:val="28"/>
              </w:rPr>
              <w:t>详见</w:t>
            </w:r>
            <w:r>
              <w:rPr>
                <w:rFonts w:hint="eastAsia" w:ascii="宋体" w:hAnsi="宋体"/>
                <w:snapToGrid w:val="0"/>
                <w:kern w:val="0"/>
                <w:sz w:val="24"/>
                <w:szCs w:val="28"/>
                <w:lang w:val="en-US" w:eastAsia="zh-CN"/>
              </w:rPr>
              <w:t xml:space="preserve">第一册专用条款 </w:t>
            </w:r>
            <w:r>
              <w:rPr>
                <w:rFonts w:hint="eastAsia" w:ascii="宋体" w:hAnsi="宋体"/>
                <w:snapToGrid w:val="0"/>
                <w:kern w:val="0"/>
                <w:sz w:val="24"/>
                <w:szCs w:val="28"/>
              </w:rPr>
              <w:t>第四章 招标公告</w:t>
            </w:r>
          </w:p>
        </w:tc>
      </w:tr>
      <w:tr w14:paraId="24DCF9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6" w:hRule="atLeast"/>
        </w:trPr>
        <w:tc>
          <w:tcPr>
            <w:tcW w:w="387" w:type="pct"/>
            <w:tcBorders>
              <w:top w:val="single" w:color="auto" w:sz="4" w:space="0"/>
              <w:left w:val="single" w:color="auto" w:sz="4" w:space="0"/>
              <w:bottom w:val="single" w:color="auto" w:sz="4" w:space="0"/>
              <w:right w:val="single" w:color="auto" w:sz="4" w:space="0"/>
            </w:tcBorders>
            <w:noWrap w:val="0"/>
            <w:vAlign w:val="center"/>
          </w:tcPr>
          <w:p w14:paraId="6DEAE7F1">
            <w:pPr>
              <w:spacing w:after="60" w:line="360" w:lineRule="auto"/>
              <w:jc w:val="center"/>
              <w:rPr>
                <w:rFonts w:hint="eastAsia" w:ascii="宋体" w:hAnsi="宋体" w:eastAsia="宋体"/>
                <w:snapToGrid w:val="0"/>
                <w:kern w:val="0"/>
                <w:sz w:val="24"/>
                <w:szCs w:val="28"/>
                <w:lang w:eastAsia="zh-CN"/>
              </w:rPr>
            </w:pPr>
            <w:r>
              <w:rPr>
                <w:rFonts w:hint="eastAsia" w:ascii="宋体" w:hAnsi="宋体"/>
                <w:snapToGrid w:val="0"/>
                <w:kern w:val="0"/>
                <w:sz w:val="24"/>
                <w:szCs w:val="28"/>
                <w:lang w:val="en-US" w:eastAsia="zh-CN"/>
              </w:rPr>
              <w:t>8</w:t>
            </w:r>
          </w:p>
        </w:tc>
        <w:tc>
          <w:tcPr>
            <w:tcW w:w="1184" w:type="pct"/>
            <w:tcBorders>
              <w:top w:val="single" w:color="auto" w:sz="4" w:space="0"/>
              <w:left w:val="single" w:color="auto" w:sz="4" w:space="0"/>
              <w:bottom w:val="single" w:color="auto" w:sz="4" w:space="0"/>
              <w:right w:val="single" w:color="auto" w:sz="4" w:space="0"/>
            </w:tcBorders>
            <w:noWrap w:val="0"/>
            <w:vAlign w:val="center"/>
          </w:tcPr>
          <w:p w14:paraId="3CDD0C53">
            <w:pPr>
              <w:spacing w:after="60" w:line="360" w:lineRule="auto"/>
              <w:jc w:val="center"/>
              <w:rPr>
                <w:rFonts w:hint="eastAsia" w:ascii="宋体" w:hAnsi="宋体"/>
                <w:snapToGrid w:val="0"/>
                <w:kern w:val="0"/>
                <w:sz w:val="24"/>
                <w:szCs w:val="28"/>
              </w:rPr>
            </w:pPr>
            <w:r>
              <w:rPr>
                <w:rFonts w:hint="eastAsia" w:ascii="宋体" w:hAnsi="宋体"/>
                <w:snapToGrid w:val="0"/>
                <w:kern w:val="0"/>
                <w:sz w:val="24"/>
                <w:szCs w:val="28"/>
              </w:rPr>
              <w:t>投标人的特定资格条件</w:t>
            </w:r>
          </w:p>
        </w:tc>
        <w:tc>
          <w:tcPr>
            <w:tcW w:w="3427" w:type="pct"/>
            <w:gridSpan w:val="2"/>
            <w:tcBorders>
              <w:top w:val="single" w:color="auto" w:sz="4" w:space="0"/>
              <w:left w:val="single" w:color="auto" w:sz="4" w:space="0"/>
              <w:bottom w:val="single" w:color="auto" w:sz="4" w:space="0"/>
              <w:right w:val="single" w:color="auto" w:sz="4" w:space="0"/>
            </w:tcBorders>
            <w:noWrap w:val="0"/>
            <w:vAlign w:val="center"/>
          </w:tcPr>
          <w:p w14:paraId="13A2E5DE">
            <w:pPr>
              <w:spacing w:after="60" w:line="360" w:lineRule="auto"/>
              <w:rPr>
                <w:rFonts w:hint="eastAsia" w:ascii="宋体" w:hAnsi="宋体"/>
                <w:snapToGrid w:val="0"/>
                <w:kern w:val="0"/>
                <w:sz w:val="24"/>
                <w:szCs w:val="28"/>
              </w:rPr>
            </w:pPr>
            <w:r>
              <w:rPr>
                <w:rFonts w:hint="eastAsia" w:ascii="宋体" w:hAnsi="宋体"/>
                <w:snapToGrid w:val="0"/>
                <w:kern w:val="0"/>
                <w:sz w:val="24"/>
                <w:szCs w:val="28"/>
              </w:rPr>
              <w:t>详见招标公告。</w:t>
            </w:r>
          </w:p>
        </w:tc>
      </w:tr>
      <w:tr w14:paraId="7780EE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6" w:hRule="atLeast"/>
        </w:trPr>
        <w:tc>
          <w:tcPr>
            <w:tcW w:w="387" w:type="pct"/>
            <w:tcBorders>
              <w:top w:val="single" w:color="auto" w:sz="4" w:space="0"/>
              <w:left w:val="single" w:color="auto" w:sz="4" w:space="0"/>
              <w:bottom w:val="single" w:color="auto" w:sz="4" w:space="0"/>
              <w:right w:val="single" w:color="auto" w:sz="4" w:space="0"/>
            </w:tcBorders>
            <w:noWrap w:val="0"/>
            <w:vAlign w:val="center"/>
          </w:tcPr>
          <w:p w14:paraId="1EB95B10">
            <w:pPr>
              <w:spacing w:after="60" w:line="360" w:lineRule="auto"/>
              <w:jc w:val="center"/>
              <w:rPr>
                <w:rFonts w:hint="eastAsia" w:ascii="宋体" w:hAnsi="宋体" w:eastAsia="宋体"/>
                <w:snapToGrid w:val="0"/>
                <w:kern w:val="0"/>
                <w:sz w:val="24"/>
                <w:szCs w:val="28"/>
                <w:lang w:eastAsia="zh-CN"/>
              </w:rPr>
            </w:pPr>
            <w:r>
              <w:rPr>
                <w:rFonts w:hint="eastAsia" w:ascii="宋体" w:hAnsi="宋体"/>
                <w:snapToGrid w:val="0"/>
                <w:kern w:val="0"/>
                <w:sz w:val="24"/>
                <w:szCs w:val="28"/>
                <w:lang w:val="en-US" w:eastAsia="zh-CN"/>
              </w:rPr>
              <w:t>9</w:t>
            </w:r>
          </w:p>
        </w:tc>
        <w:tc>
          <w:tcPr>
            <w:tcW w:w="1184" w:type="pct"/>
            <w:tcBorders>
              <w:top w:val="single" w:color="auto" w:sz="4" w:space="0"/>
              <w:left w:val="single" w:color="auto" w:sz="4" w:space="0"/>
              <w:bottom w:val="single" w:color="auto" w:sz="4" w:space="0"/>
              <w:right w:val="single" w:color="auto" w:sz="4" w:space="0"/>
            </w:tcBorders>
            <w:noWrap w:val="0"/>
            <w:vAlign w:val="center"/>
          </w:tcPr>
          <w:p w14:paraId="38427D70">
            <w:pPr>
              <w:spacing w:after="60" w:line="360" w:lineRule="auto"/>
              <w:jc w:val="center"/>
              <w:rPr>
                <w:rFonts w:hint="eastAsia" w:ascii="宋体" w:hAnsi="宋体"/>
                <w:snapToGrid w:val="0"/>
                <w:kern w:val="0"/>
                <w:sz w:val="24"/>
                <w:szCs w:val="28"/>
              </w:rPr>
            </w:pPr>
            <w:r>
              <w:rPr>
                <w:rFonts w:hint="eastAsia" w:ascii="宋体" w:hAnsi="宋体"/>
                <w:snapToGrid w:val="0"/>
                <w:kern w:val="0"/>
                <w:sz w:val="24"/>
                <w:szCs w:val="28"/>
              </w:rPr>
              <w:t>是否接受联合体投标</w:t>
            </w:r>
          </w:p>
        </w:tc>
        <w:tc>
          <w:tcPr>
            <w:tcW w:w="3427" w:type="pct"/>
            <w:gridSpan w:val="2"/>
            <w:tcBorders>
              <w:top w:val="single" w:color="auto" w:sz="4" w:space="0"/>
              <w:left w:val="single" w:color="auto" w:sz="4" w:space="0"/>
              <w:bottom w:val="single" w:color="auto" w:sz="4" w:space="0"/>
              <w:right w:val="single" w:color="auto" w:sz="4" w:space="0"/>
            </w:tcBorders>
            <w:noWrap w:val="0"/>
            <w:vAlign w:val="center"/>
          </w:tcPr>
          <w:p w14:paraId="0F9B4544">
            <w:pPr>
              <w:spacing w:after="60" w:line="360" w:lineRule="auto"/>
              <w:rPr>
                <w:rFonts w:hint="eastAsia" w:ascii="宋体" w:hAnsi="宋体"/>
                <w:snapToGrid w:val="0"/>
                <w:kern w:val="0"/>
                <w:sz w:val="24"/>
                <w:szCs w:val="28"/>
              </w:rPr>
            </w:pPr>
            <w:r>
              <w:rPr>
                <w:rFonts w:hint="eastAsia" w:ascii="宋体" w:hAnsi="宋体"/>
                <w:snapToGrid w:val="0"/>
                <w:kern w:val="0"/>
                <w:sz w:val="24"/>
                <w:szCs w:val="28"/>
              </w:rPr>
              <w:t>■不接受</w:t>
            </w:r>
          </w:p>
          <w:p w14:paraId="2A96DBA3">
            <w:pPr>
              <w:spacing w:after="60" w:line="360" w:lineRule="auto"/>
              <w:rPr>
                <w:rFonts w:hint="eastAsia" w:ascii="宋体" w:hAnsi="宋体"/>
                <w:snapToGrid w:val="0"/>
                <w:kern w:val="0"/>
                <w:sz w:val="24"/>
                <w:szCs w:val="28"/>
              </w:rPr>
            </w:pPr>
            <w:r>
              <w:rPr>
                <w:rFonts w:hint="eastAsia" w:ascii="宋体" w:hAnsi="宋体"/>
                <w:snapToGrid w:val="0"/>
                <w:kern w:val="0"/>
                <w:sz w:val="24"/>
                <w:szCs w:val="28"/>
              </w:rPr>
              <w:t>□接受</w:t>
            </w:r>
          </w:p>
        </w:tc>
      </w:tr>
      <w:tr w14:paraId="240894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6" w:hRule="atLeast"/>
        </w:trPr>
        <w:tc>
          <w:tcPr>
            <w:tcW w:w="387" w:type="pct"/>
            <w:tcBorders>
              <w:top w:val="single" w:color="auto" w:sz="4" w:space="0"/>
              <w:left w:val="single" w:color="auto" w:sz="4" w:space="0"/>
              <w:bottom w:val="single" w:color="auto" w:sz="4" w:space="0"/>
              <w:right w:val="single" w:color="auto" w:sz="4" w:space="0"/>
            </w:tcBorders>
            <w:noWrap w:val="0"/>
            <w:vAlign w:val="center"/>
          </w:tcPr>
          <w:p w14:paraId="0EB42D99">
            <w:pPr>
              <w:spacing w:after="60" w:line="360" w:lineRule="auto"/>
              <w:jc w:val="center"/>
              <w:rPr>
                <w:rFonts w:hint="eastAsia" w:ascii="宋体" w:hAnsi="宋体" w:eastAsia="宋体"/>
                <w:snapToGrid w:val="0"/>
                <w:kern w:val="0"/>
                <w:sz w:val="24"/>
                <w:szCs w:val="28"/>
                <w:lang w:eastAsia="zh-CN"/>
              </w:rPr>
            </w:pPr>
            <w:r>
              <w:rPr>
                <w:rFonts w:hint="eastAsia" w:ascii="宋体" w:hAnsi="宋体"/>
                <w:snapToGrid w:val="0"/>
                <w:kern w:val="0"/>
                <w:sz w:val="24"/>
                <w:szCs w:val="28"/>
              </w:rPr>
              <w:t>1</w:t>
            </w:r>
            <w:r>
              <w:rPr>
                <w:rFonts w:hint="eastAsia" w:ascii="宋体" w:hAnsi="宋体"/>
                <w:snapToGrid w:val="0"/>
                <w:kern w:val="0"/>
                <w:sz w:val="24"/>
                <w:szCs w:val="28"/>
                <w:lang w:val="en-US" w:eastAsia="zh-CN"/>
              </w:rPr>
              <w:t>0</w:t>
            </w:r>
          </w:p>
        </w:tc>
        <w:tc>
          <w:tcPr>
            <w:tcW w:w="1184" w:type="pct"/>
            <w:tcBorders>
              <w:top w:val="single" w:color="auto" w:sz="4" w:space="0"/>
              <w:left w:val="single" w:color="auto" w:sz="4" w:space="0"/>
              <w:bottom w:val="single" w:color="auto" w:sz="4" w:space="0"/>
              <w:right w:val="single" w:color="auto" w:sz="4" w:space="0"/>
            </w:tcBorders>
            <w:noWrap w:val="0"/>
            <w:vAlign w:val="center"/>
          </w:tcPr>
          <w:p w14:paraId="3EE3B3CC">
            <w:pPr>
              <w:spacing w:after="60" w:line="360" w:lineRule="auto"/>
              <w:jc w:val="center"/>
              <w:rPr>
                <w:rFonts w:hint="eastAsia" w:ascii="宋体" w:hAnsi="宋体"/>
                <w:snapToGrid w:val="0"/>
                <w:kern w:val="0"/>
                <w:sz w:val="24"/>
                <w:szCs w:val="28"/>
              </w:rPr>
            </w:pPr>
            <w:r>
              <w:rPr>
                <w:rFonts w:hint="eastAsia" w:ascii="宋体" w:hAnsi="宋体"/>
                <w:snapToGrid w:val="0"/>
                <w:kern w:val="0"/>
                <w:sz w:val="24"/>
                <w:szCs w:val="28"/>
              </w:rPr>
              <w:t>是否允许分包、转包</w:t>
            </w:r>
          </w:p>
        </w:tc>
        <w:tc>
          <w:tcPr>
            <w:tcW w:w="3427" w:type="pct"/>
            <w:gridSpan w:val="2"/>
            <w:tcBorders>
              <w:top w:val="single" w:color="auto" w:sz="4" w:space="0"/>
              <w:left w:val="single" w:color="auto" w:sz="4" w:space="0"/>
              <w:bottom w:val="single" w:color="auto" w:sz="4" w:space="0"/>
              <w:right w:val="single" w:color="auto" w:sz="4" w:space="0"/>
            </w:tcBorders>
            <w:noWrap w:val="0"/>
            <w:vAlign w:val="center"/>
          </w:tcPr>
          <w:p w14:paraId="35338A69">
            <w:pPr>
              <w:spacing w:after="60" w:line="360" w:lineRule="auto"/>
              <w:rPr>
                <w:rFonts w:hint="eastAsia" w:ascii="宋体" w:hAnsi="宋体"/>
                <w:snapToGrid w:val="0"/>
                <w:kern w:val="0"/>
                <w:sz w:val="24"/>
                <w:szCs w:val="28"/>
              </w:rPr>
            </w:pPr>
            <w:r>
              <w:rPr>
                <w:rFonts w:hint="eastAsia" w:ascii="宋体" w:hAnsi="宋体"/>
                <w:snapToGrid w:val="0"/>
                <w:kern w:val="0"/>
                <w:sz w:val="24"/>
                <w:szCs w:val="28"/>
              </w:rPr>
              <w:t>■不允许</w:t>
            </w:r>
          </w:p>
          <w:p w14:paraId="41C14F29">
            <w:pPr>
              <w:spacing w:after="60" w:line="360" w:lineRule="auto"/>
              <w:rPr>
                <w:rFonts w:hint="eastAsia" w:ascii="宋体" w:hAnsi="宋体"/>
                <w:snapToGrid w:val="0"/>
                <w:kern w:val="0"/>
                <w:sz w:val="24"/>
                <w:szCs w:val="28"/>
              </w:rPr>
            </w:pPr>
            <w:r>
              <w:rPr>
                <w:rFonts w:hint="eastAsia" w:ascii="宋体" w:hAnsi="宋体"/>
                <w:snapToGrid w:val="0"/>
                <w:kern w:val="0"/>
                <w:sz w:val="24"/>
                <w:szCs w:val="28"/>
              </w:rPr>
              <w:t>□允许</w:t>
            </w:r>
          </w:p>
        </w:tc>
      </w:tr>
      <w:tr w14:paraId="7EE5E7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6" w:hRule="atLeast"/>
        </w:trPr>
        <w:tc>
          <w:tcPr>
            <w:tcW w:w="387" w:type="pct"/>
            <w:tcBorders>
              <w:top w:val="single" w:color="auto" w:sz="4" w:space="0"/>
              <w:left w:val="single" w:color="auto" w:sz="4" w:space="0"/>
              <w:bottom w:val="single" w:color="auto" w:sz="4" w:space="0"/>
              <w:right w:val="single" w:color="auto" w:sz="4" w:space="0"/>
            </w:tcBorders>
            <w:noWrap w:val="0"/>
            <w:vAlign w:val="center"/>
          </w:tcPr>
          <w:p w14:paraId="222DE57C">
            <w:pPr>
              <w:spacing w:after="60" w:line="360" w:lineRule="auto"/>
              <w:jc w:val="center"/>
              <w:rPr>
                <w:rFonts w:hint="eastAsia" w:ascii="宋体" w:hAnsi="宋体" w:eastAsia="宋体"/>
                <w:snapToGrid w:val="0"/>
                <w:kern w:val="0"/>
                <w:sz w:val="24"/>
                <w:szCs w:val="28"/>
                <w:lang w:eastAsia="zh-CN"/>
              </w:rPr>
            </w:pPr>
            <w:r>
              <w:rPr>
                <w:rFonts w:hint="eastAsia" w:ascii="宋体" w:hAnsi="宋体"/>
                <w:snapToGrid w:val="0"/>
                <w:kern w:val="0"/>
                <w:sz w:val="24"/>
                <w:szCs w:val="28"/>
              </w:rPr>
              <w:t>1</w:t>
            </w:r>
            <w:r>
              <w:rPr>
                <w:rFonts w:hint="eastAsia" w:ascii="宋体" w:hAnsi="宋体"/>
                <w:snapToGrid w:val="0"/>
                <w:kern w:val="0"/>
                <w:sz w:val="24"/>
                <w:szCs w:val="28"/>
                <w:lang w:val="en-US" w:eastAsia="zh-CN"/>
              </w:rPr>
              <w:t>1</w:t>
            </w:r>
          </w:p>
        </w:tc>
        <w:tc>
          <w:tcPr>
            <w:tcW w:w="1184" w:type="pct"/>
            <w:tcBorders>
              <w:top w:val="single" w:color="auto" w:sz="4" w:space="0"/>
              <w:left w:val="single" w:color="auto" w:sz="4" w:space="0"/>
              <w:bottom w:val="single" w:color="auto" w:sz="4" w:space="0"/>
              <w:right w:val="single" w:color="auto" w:sz="4" w:space="0"/>
            </w:tcBorders>
            <w:noWrap w:val="0"/>
            <w:vAlign w:val="center"/>
          </w:tcPr>
          <w:p w14:paraId="6086ACD7">
            <w:pPr>
              <w:spacing w:after="60" w:line="360" w:lineRule="auto"/>
              <w:jc w:val="center"/>
              <w:rPr>
                <w:rFonts w:hint="eastAsia" w:ascii="宋体" w:hAnsi="宋体"/>
                <w:snapToGrid w:val="0"/>
                <w:kern w:val="0"/>
                <w:sz w:val="24"/>
                <w:szCs w:val="28"/>
              </w:rPr>
            </w:pPr>
            <w:r>
              <w:rPr>
                <w:rFonts w:hint="eastAsia" w:ascii="宋体" w:hAnsi="宋体"/>
                <w:snapToGrid w:val="0"/>
                <w:kern w:val="0"/>
                <w:sz w:val="24"/>
                <w:szCs w:val="28"/>
              </w:rPr>
              <w:t>踏勘现场</w:t>
            </w:r>
          </w:p>
        </w:tc>
        <w:tc>
          <w:tcPr>
            <w:tcW w:w="3427" w:type="pct"/>
            <w:gridSpan w:val="2"/>
            <w:tcBorders>
              <w:top w:val="single" w:color="auto" w:sz="4" w:space="0"/>
              <w:left w:val="single" w:color="auto" w:sz="4" w:space="0"/>
              <w:bottom w:val="single" w:color="auto" w:sz="4" w:space="0"/>
              <w:right w:val="single" w:color="auto" w:sz="4" w:space="0"/>
            </w:tcBorders>
            <w:noWrap w:val="0"/>
            <w:vAlign w:val="center"/>
          </w:tcPr>
          <w:p w14:paraId="18843495">
            <w:pPr>
              <w:spacing w:after="60" w:line="360" w:lineRule="auto"/>
              <w:rPr>
                <w:rFonts w:hint="eastAsia" w:ascii="宋体" w:hAnsi="宋体"/>
                <w:snapToGrid w:val="0"/>
                <w:kern w:val="0"/>
                <w:sz w:val="24"/>
                <w:szCs w:val="28"/>
              </w:rPr>
            </w:pPr>
            <w:r>
              <w:rPr>
                <w:rFonts w:hint="eastAsia" w:ascii="宋体" w:hAnsi="宋体"/>
                <w:snapToGrid w:val="0"/>
                <w:kern w:val="0"/>
                <w:sz w:val="24"/>
                <w:szCs w:val="28"/>
              </w:rPr>
              <w:t>■不组织</w:t>
            </w:r>
          </w:p>
          <w:p w14:paraId="199D37C2">
            <w:pPr>
              <w:spacing w:after="60" w:line="360" w:lineRule="auto"/>
              <w:rPr>
                <w:rFonts w:hint="eastAsia" w:ascii="宋体" w:hAnsi="宋体"/>
                <w:snapToGrid w:val="0"/>
                <w:kern w:val="0"/>
                <w:sz w:val="24"/>
                <w:szCs w:val="28"/>
              </w:rPr>
            </w:pPr>
            <w:r>
              <w:rPr>
                <w:rFonts w:hint="eastAsia" w:ascii="宋体" w:hAnsi="宋体"/>
                <w:snapToGrid w:val="0"/>
                <w:kern w:val="0"/>
                <w:sz w:val="24"/>
                <w:szCs w:val="28"/>
              </w:rPr>
              <w:t>□组织，踏勘时间：</w:t>
            </w:r>
          </w:p>
          <w:p w14:paraId="44D025FC">
            <w:pPr>
              <w:spacing w:after="60" w:line="360" w:lineRule="auto"/>
              <w:rPr>
                <w:rFonts w:hint="eastAsia" w:ascii="宋体" w:hAnsi="宋体"/>
                <w:snapToGrid w:val="0"/>
                <w:kern w:val="0"/>
                <w:sz w:val="24"/>
                <w:szCs w:val="28"/>
              </w:rPr>
            </w:pPr>
            <w:r>
              <w:rPr>
                <w:rFonts w:hint="eastAsia" w:ascii="宋体" w:hAnsi="宋体"/>
                <w:snapToGrid w:val="0"/>
                <w:kern w:val="0"/>
                <w:sz w:val="24"/>
                <w:szCs w:val="28"/>
              </w:rPr>
              <w:t xml:space="preserve">        踏勘集中地点：</w:t>
            </w:r>
          </w:p>
        </w:tc>
      </w:tr>
      <w:tr w14:paraId="1E1B04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69" w:hRule="atLeast"/>
        </w:trPr>
        <w:tc>
          <w:tcPr>
            <w:tcW w:w="5000" w:type="pct"/>
            <w:gridSpan w:val="4"/>
            <w:tcBorders>
              <w:top w:val="single" w:color="auto" w:sz="4" w:space="0"/>
              <w:left w:val="single" w:color="auto" w:sz="4" w:space="0"/>
              <w:bottom w:val="single" w:color="auto" w:sz="4" w:space="0"/>
              <w:right w:val="single" w:color="auto" w:sz="4" w:space="0"/>
            </w:tcBorders>
            <w:noWrap w:val="0"/>
            <w:vAlign w:val="center"/>
          </w:tcPr>
          <w:p w14:paraId="21FBA3A9">
            <w:pPr>
              <w:spacing w:after="60" w:line="360" w:lineRule="auto"/>
              <w:jc w:val="center"/>
              <w:rPr>
                <w:rFonts w:hint="eastAsia" w:ascii="宋体" w:hAnsi="宋体"/>
                <w:snapToGrid w:val="0"/>
                <w:kern w:val="0"/>
                <w:sz w:val="24"/>
                <w:szCs w:val="28"/>
              </w:rPr>
            </w:pPr>
            <w:r>
              <w:rPr>
                <w:rFonts w:hint="eastAsia" w:ascii="宋体" w:hAnsi="宋体"/>
                <w:b/>
                <w:bCs/>
                <w:snapToGrid w:val="0"/>
                <w:kern w:val="0"/>
                <w:sz w:val="24"/>
                <w:szCs w:val="28"/>
              </w:rPr>
              <w:t>2.招标文件</w:t>
            </w:r>
          </w:p>
        </w:tc>
      </w:tr>
      <w:tr w14:paraId="046EB9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490" w:hRule="atLeast"/>
        </w:trPr>
        <w:tc>
          <w:tcPr>
            <w:tcW w:w="387" w:type="pct"/>
            <w:tcBorders>
              <w:top w:val="single" w:color="auto" w:sz="4" w:space="0"/>
              <w:left w:val="single" w:color="auto" w:sz="4" w:space="0"/>
              <w:bottom w:val="single" w:color="auto" w:sz="4" w:space="0"/>
              <w:right w:val="single" w:color="auto" w:sz="4" w:space="0"/>
            </w:tcBorders>
            <w:noWrap w:val="0"/>
            <w:vAlign w:val="center"/>
          </w:tcPr>
          <w:p w14:paraId="2401B2ED">
            <w:pPr>
              <w:spacing w:after="60" w:line="360" w:lineRule="auto"/>
              <w:jc w:val="center"/>
              <w:rPr>
                <w:rFonts w:hint="eastAsia" w:ascii="宋体" w:hAnsi="宋体" w:eastAsia="宋体"/>
                <w:snapToGrid w:val="0"/>
                <w:kern w:val="0"/>
                <w:sz w:val="24"/>
                <w:szCs w:val="28"/>
                <w:lang w:eastAsia="zh-CN"/>
              </w:rPr>
            </w:pPr>
            <w:r>
              <w:rPr>
                <w:rFonts w:hint="eastAsia" w:ascii="宋体" w:hAnsi="宋体"/>
                <w:snapToGrid w:val="0"/>
                <w:kern w:val="0"/>
                <w:sz w:val="24"/>
                <w:szCs w:val="28"/>
              </w:rPr>
              <w:t>1</w:t>
            </w:r>
            <w:r>
              <w:rPr>
                <w:rFonts w:hint="eastAsia" w:ascii="宋体" w:hAnsi="宋体"/>
                <w:snapToGrid w:val="0"/>
                <w:kern w:val="0"/>
                <w:sz w:val="24"/>
                <w:szCs w:val="28"/>
                <w:lang w:val="en-US" w:eastAsia="zh-CN"/>
              </w:rPr>
              <w:t>2</w:t>
            </w:r>
          </w:p>
        </w:tc>
        <w:tc>
          <w:tcPr>
            <w:tcW w:w="1184" w:type="pct"/>
            <w:tcBorders>
              <w:top w:val="single" w:color="auto" w:sz="4" w:space="0"/>
              <w:left w:val="single" w:color="auto" w:sz="4" w:space="0"/>
              <w:bottom w:val="single" w:color="auto" w:sz="4" w:space="0"/>
              <w:right w:val="single" w:color="auto" w:sz="4" w:space="0"/>
            </w:tcBorders>
            <w:noWrap w:val="0"/>
            <w:vAlign w:val="center"/>
          </w:tcPr>
          <w:p w14:paraId="1ACA5C1E">
            <w:pPr>
              <w:spacing w:after="60" w:line="360" w:lineRule="auto"/>
              <w:jc w:val="center"/>
              <w:rPr>
                <w:rFonts w:hint="eastAsia" w:ascii="宋体" w:hAnsi="宋体"/>
                <w:snapToGrid w:val="0"/>
                <w:kern w:val="0"/>
                <w:sz w:val="24"/>
                <w:szCs w:val="28"/>
              </w:rPr>
            </w:pPr>
            <w:r>
              <w:rPr>
                <w:rFonts w:hint="eastAsia" w:ascii="宋体" w:hAnsi="宋体"/>
                <w:snapToGrid w:val="0"/>
                <w:kern w:val="0"/>
                <w:sz w:val="24"/>
                <w:szCs w:val="28"/>
              </w:rPr>
              <w:t>投标人要求澄清招标文件的时间和形式</w:t>
            </w:r>
          </w:p>
        </w:tc>
        <w:tc>
          <w:tcPr>
            <w:tcW w:w="3427" w:type="pct"/>
            <w:gridSpan w:val="2"/>
            <w:tcBorders>
              <w:top w:val="single" w:color="auto" w:sz="4" w:space="0"/>
              <w:left w:val="single" w:color="auto" w:sz="4" w:space="0"/>
              <w:bottom w:val="single" w:color="auto" w:sz="4" w:space="0"/>
              <w:right w:val="single" w:color="auto" w:sz="4" w:space="0"/>
            </w:tcBorders>
            <w:noWrap w:val="0"/>
            <w:vAlign w:val="center"/>
          </w:tcPr>
          <w:p w14:paraId="5A842C0B">
            <w:pPr>
              <w:spacing w:after="60" w:line="360" w:lineRule="auto"/>
              <w:rPr>
                <w:rFonts w:hint="eastAsia" w:ascii="宋体" w:hAnsi="宋体"/>
                <w:snapToGrid w:val="0"/>
                <w:kern w:val="0"/>
                <w:sz w:val="24"/>
                <w:szCs w:val="28"/>
              </w:rPr>
            </w:pPr>
            <w:r>
              <w:rPr>
                <w:rFonts w:hint="eastAsia" w:ascii="宋体" w:hAnsi="宋体"/>
                <w:snapToGrid w:val="0"/>
                <w:kern w:val="0"/>
                <w:sz w:val="24"/>
                <w:szCs w:val="28"/>
              </w:rPr>
              <w:t>投标人要求澄清招标文件的截止时间：投标人可以在知道或应知其权益受到损害之日起7个工作日内</w:t>
            </w:r>
          </w:p>
          <w:p w14:paraId="69C3321D">
            <w:pPr>
              <w:spacing w:after="60" w:line="360" w:lineRule="auto"/>
              <w:rPr>
                <w:rFonts w:hint="eastAsia" w:ascii="宋体" w:hAnsi="宋体"/>
                <w:snapToGrid w:val="0"/>
                <w:kern w:val="0"/>
                <w:sz w:val="24"/>
                <w:szCs w:val="28"/>
              </w:rPr>
            </w:pPr>
            <w:r>
              <w:rPr>
                <w:rFonts w:hint="eastAsia" w:ascii="宋体" w:hAnsi="宋体"/>
                <w:snapToGrid w:val="0"/>
                <w:kern w:val="0"/>
                <w:sz w:val="24"/>
                <w:szCs w:val="28"/>
              </w:rPr>
              <w:t>要求澄清的形式：书面方式，包括邮件、信函、传真等可以有形地表现所载内容的形式。</w:t>
            </w:r>
          </w:p>
        </w:tc>
      </w:tr>
      <w:tr w14:paraId="431510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490" w:hRule="atLeast"/>
        </w:trPr>
        <w:tc>
          <w:tcPr>
            <w:tcW w:w="387" w:type="pct"/>
            <w:tcBorders>
              <w:top w:val="single" w:color="auto" w:sz="4" w:space="0"/>
              <w:left w:val="single" w:color="auto" w:sz="4" w:space="0"/>
              <w:bottom w:val="single" w:color="auto" w:sz="4" w:space="0"/>
              <w:right w:val="single" w:color="auto" w:sz="4" w:space="0"/>
            </w:tcBorders>
            <w:noWrap w:val="0"/>
            <w:vAlign w:val="center"/>
          </w:tcPr>
          <w:p w14:paraId="01642CF8">
            <w:pPr>
              <w:spacing w:after="60" w:line="360" w:lineRule="auto"/>
              <w:jc w:val="center"/>
              <w:rPr>
                <w:rFonts w:hint="eastAsia" w:ascii="宋体" w:hAnsi="宋体" w:eastAsia="宋体"/>
                <w:snapToGrid w:val="0"/>
                <w:kern w:val="0"/>
                <w:sz w:val="24"/>
                <w:szCs w:val="28"/>
                <w:lang w:eastAsia="zh-CN"/>
              </w:rPr>
            </w:pPr>
            <w:r>
              <w:rPr>
                <w:rFonts w:hint="eastAsia" w:ascii="宋体" w:hAnsi="宋体"/>
                <w:snapToGrid w:val="0"/>
                <w:kern w:val="0"/>
                <w:sz w:val="24"/>
                <w:szCs w:val="28"/>
              </w:rPr>
              <w:t>1</w:t>
            </w:r>
            <w:r>
              <w:rPr>
                <w:rFonts w:hint="eastAsia" w:ascii="宋体" w:hAnsi="宋体"/>
                <w:snapToGrid w:val="0"/>
                <w:kern w:val="0"/>
                <w:sz w:val="24"/>
                <w:szCs w:val="28"/>
                <w:lang w:val="en-US" w:eastAsia="zh-CN"/>
              </w:rPr>
              <w:t>3</w:t>
            </w:r>
          </w:p>
        </w:tc>
        <w:tc>
          <w:tcPr>
            <w:tcW w:w="1184" w:type="pct"/>
            <w:tcBorders>
              <w:top w:val="single" w:color="auto" w:sz="4" w:space="0"/>
              <w:left w:val="single" w:color="auto" w:sz="4" w:space="0"/>
              <w:bottom w:val="single" w:color="auto" w:sz="4" w:space="0"/>
              <w:right w:val="single" w:color="auto" w:sz="4" w:space="0"/>
            </w:tcBorders>
            <w:noWrap w:val="0"/>
            <w:vAlign w:val="center"/>
          </w:tcPr>
          <w:p w14:paraId="293255D2">
            <w:pPr>
              <w:spacing w:after="60" w:line="360" w:lineRule="auto"/>
              <w:jc w:val="center"/>
              <w:rPr>
                <w:rFonts w:hint="eastAsia" w:ascii="宋体" w:hAnsi="宋体"/>
                <w:snapToGrid w:val="0"/>
                <w:kern w:val="0"/>
                <w:sz w:val="24"/>
                <w:szCs w:val="28"/>
              </w:rPr>
            </w:pPr>
            <w:r>
              <w:rPr>
                <w:rFonts w:hint="eastAsia" w:ascii="宋体" w:hAnsi="宋体"/>
                <w:snapToGrid w:val="0"/>
                <w:kern w:val="0"/>
                <w:sz w:val="24"/>
                <w:szCs w:val="28"/>
              </w:rPr>
              <w:t>采购人书面澄清时间和形式</w:t>
            </w:r>
          </w:p>
        </w:tc>
        <w:tc>
          <w:tcPr>
            <w:tcW w:w="3427" w:type="pct"/>
            <w:gridSpan w:val="2"/>
            <w:tcBorders>
              <w:top w:val="single" w:color="auto" w:sz="4" w:space="0"/>
              <w:left w:val="single" w:color="auto" w:sz="4" w:space="0"/>
              <w:bottom w:val="single" w:color="auto" w:sz="4" w:space="0"/>
              <w:right w:val="single" w:color="auto" w:sz="4" w:space="0"/>
            </w:tcBorders>
            <w:noWrap w:val="0"/>
            <w:vAlign w:val="center"/>
          </w:tcPr>
          <w:p w14:paraId="0E595843">
            <w:pPr>
              <w:spacing w:after="60" w:line="360" w:lineRule="auto"/>
              <w:rPr>
                <w:rFonts w:hint="eastAsia" w:ascii="宋体" w:hAnsi="宋体"/>
                <w:snapToGrid w:val="0"/>
                <w:kern w:val="0"/>
                <w:sz w:val="24"/>
                <w:szCs w:val="28"/>
              </w:rPr>
            </w:pPr>
            <w:r>
              <w:rPr>
                <w:rFonts w:hint="eastAsia" w:ascii="宋体" w:hAnsi="宋体"/>
                <w:snapToGrid w:val="0"/>
                <w:kern w:val="0"/>
                <w:sz w:val="24"/>
                <w:szCs w:val="28"/>
              </w:rPr>
              <w:t>采购人及代理机构对招标文件的澄清/修改时间：投标截止时间5日前</w:t>
            </w:r>
          </w:p>
          <w:p w14:paraId="31B87DCB">
            <w:pPr>
              <w:spacing w:after="60" w:line="360" w:lineRule="auto"/>
              <w:rPr>
                <w:rFonts w:hint="eastAsia" w:ascii="宋体" w:hAnsi="宋体"/>
                <w:snapToGrid w:val="0"/>
                <w:kern w:val="0"/>
                <w:sz w:val="24"/>
                <w:szCs w:val="28"/>
              </w:rPr>
            </w:pPr>
            <w:r>
              <w:rPr>
                <w:rFonts w:hint="eastAsia" w:ascii="宋体" w:hAnsi="宋体"/>
                <w:snapToGrid w:val="0"/>
                <w:kern w:val="0"/>
                <w:sz w:val="24"/>
                <w:szCs w:val="28"/>
              </w:rPr>
              <w:t>澄清/修改的形式：</w:t>
            </w:r>
            <w:r>
              <w:rPr>
                <w:rFonts w:hint="eastAsia" w:ascii="宋体" w:hAnsi="宋体"/>
                <w:snapToGrid w:val="0"/>
                <w:kern w:val="0"/>
                <w:sz w:val="24"/>
                <w:szCs w:val="28"/>
                <w:lang w:val="zh-CN"/>
              </w:rPr>
              <w:t>以书面形式通知所有购买招标文件的潜在投标人，澄清或修改的内容为招标文件的组成部分。</w:t>
            </w:r>
          </w:p>
        </w:tc>
      </w:tr>
      <w:tr w14:paraId="2F0A58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0" w:hRule="atLeast"/>
        </w:trPr>
        <w:tc>
          <w:tcPr>
            <w:tcW w:w="387" w:type="pct"/>
            <w:tcBorders>
              <w:top w:val="single" w:color="auto" w:sz="4" w:space="0"/>
              <w:left w:val="single" w:color="auto" w:sz="4" w:space="0"/>
              <w:bottom w:val="single" w:color="auto" w:sz="4" w:space="0"/>
              <w:right w:val="single" w:color="auto" w:sz="4" w:space="0"/>
            </w:tcBorders>
            <w:noWrap w:val="0"/>
            <w:vAlign w:val="center"/>
          </w:tcPr>
          <w:p w14:paraId="258D918E">
            <w:pPr>
              <w:spacing w:after="60" w:line="360" w:lineRule="auto"/>
              <w:jc w:val="center"/>
              <w:rPr>
                <w:rFonts w:hint="eastAsia" w:ascii="宋体" w:hAnsi="宋体" w:eastAsia="宋体"/>
                <w:snapToGrid w:val="0"/>
                <w:kern w:val="0"/>
                <w:sz w:val="24"/>
                <w:szCs w:val="28"/>
                <w:lang w:eastAsia="zh-CN"/>
              </w:rPr>
            </w:pPr>
            <w:r>
              <w:rPr>
                <w:rFonts w:hint="eastAsia" w:ascii="宋体" w:hAnsi="宋体"/>
                <w:snapToGrid w:val="0"/>
                <w:kern w:val="0"/>
                <w:sz w:val="24"/>
                <w:szCs w:val="28"/>
              </w:rPr>
              <w:t>1</w:t>
            </w:r>
            <w:r>
              <w:rPr>
                <w:rFonts w:hint="eastAsia" w:ascii="宋体" w:hAnsi="宋体"/>
                <w:snapToGrid w:val="0"/>
                <w:kern w:val="0"/>
                <w:sz w:val="24"/>
                <w:szCs w:val="28"/>
                <w:lang w:val="en-US" w:eastAsia="zh-CN"/>
              </w:rPr>
              <w:t>4</w:t>
            </w:r>
          </w:p>
        </w:tc>
        <w:tc>
          <w:tcPr>
            <w:tcW w:w="1184" w:type="pct"/>
            <w:tcBorders>
              <w:top w:val="single" w:color="auto" w:sz="4" w:space="0"/>
              <w:left w:val="single" w:color="auto" w:sz="4" w:space="0"/>
              <w:bottom w:val="single" w:color="auto" w:sz="4" w:space="0"/>
              <w:right w:val="single" w:color="auto" w:sz="4" w:space="0"/>
            </w:tcBorders>
            <w:noWrap w:val="0"/>
            <w:vAlign w:val="center"/>
          </w:tcPr>
          <w:p w14:paraId="52988CE6">
            <w:pPr>
              <w:spacing w:after="60" w:line="360" w:lineRule="auto"/>
              <w:jc w:val="center"/>
              <w:rPr>
                <w:rFonts w:hint="eastAsia" w:ascii="宋体" w:hAnsi="宋体"/>
                <w:snapToGrid w:val="0"/>
                <w:kern w:val="0"/>
                <w:sz w:val="24"/>
                <w:szCs w:val="28"/>
              </w:rPr>
            </w:pPr>
            <w:r>
              <w:rPr>
                <w:rFonts w:hint="eastAsia" w:ascii="宋体" w:hAnsi="宋体"/>
                <w:snapToGrid w:val="0"/>
                <w:kern w:val="0"/>
                <w:sz w:val="24"/>
                <w:szCs w:val="28"/>
              </w:rPr>
              <w:t>投标人确认收到招标文件澄清/修改的时间</w:t>
            </w:r>
          </w:p>
        </w:tc>
        <w:tc>
          <w:tcPr>
            <w:tcW w:w="3427" w:type="pct"/>
            <w:gridSpan w:val="2"/>
            <w:tcBorders>
              <w:top w:val="single" w:color="auto" w:sz="4" w:space="0"/>
              <w:left w:val="single" w:color="auto" w:sz="4" w:space="0"/>
              <w:bottom w:val="single" w:color="auto" w:sz="4" w:space="0"/>
              <w:right w:val="single" w:color="auto" w:sz="4" w:space="0"/>
            </w:tcBorders>
            <w:noWrap w:val="0"/>
            <w:vAlign w:val="center"/>
          </w:tcPr>
          <w:p w14:paraId="1C1DEF68">
            <w:pPr>
              <w:spacing w:after="60" w:line="360" w:lineRule="auto"/>
              <w:rPr>
                <w:rFonts w:hint="eastAsia" w:ascii="宋体" w:hAnsi="宋体"/>
                <w:snapToGrid w:val="0"/>
                <w:kern w:val="0"/>
                <w:sz w:val="24"/>
                <w:szCs w:val="28"/>
              </w:rPr>
            </w:pPr>
            <w:r>
              <w:rPr>
                <w:rFonts w:hint="eastAsia" w:ascii="宋体" w:hAnsi="宋体"/>
                <w:snapToGrid w:val="0"/>
                <w:kern w:val="0"/>
                <w:sz w:val="24"/>
                <w:szCs w:val="28"/>
              </w:rPr>
              <w:t>收到澄清/修改文件后24小时内</w:t>
            </w:r>
          </w:p>
        </w:tc>
      </w:tr>
      <w:tr w14:paraId="05F1B7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99" w:hRule="atLeast"/>
        </w:trPr>
        <w:tc>
          <w:tcPr>
            <w:tcW w:w="5000" w:type="pct"/>
            <w:gridSpan w:val="4"/>
            <w:tcBorders>
              <w:top w:val="single" w:color="auto" w:sz="4" w:space="0"/>
              <w:left w:val="single" w:color="auto" w:sz="4" w:space="0"/>
              <w:bottom w:val="single" w:color="auto" w:sz="4" w:space="0"/>
              <w:right w:val="single" w:color="auto" w:sz="4" w:space="0"/>
            </w:tcBorders>
            <w:noWrap w:val="0"/>
            <w:vAlign w:val="center"/>
          </w:tcPr>
          <w:p w14:paraId="10F2DB22">
            <w:pPr>
              <w:spacing w:after="60" w:line="360" w:lineRule="auto"/>
              <w:jc w:val="center"/>
              <w:rPr>
                <w:rFonts w:hint="eastAsia" w:ascii="宋体" w:hAnsi="宋体"/>
                <w:snapToGrid w:val="0"/>
                <w:kern w:val="0"/>
                <w:sz w:val="24"/>
                <w:szCs w:val="28"/>
              </w:rPr>
            </w:pPr>
            <w:r>
              <w:rPr>
                <w:rFonts w:hint="eastAsia" w:ascii="宋体" w:hAnsi="宋体"/>
                <w:b/>
                <w:bCs/>
                <w:snapToGrid w:val="0"/>
                <w:kern w:val="0"/>
                <w:sz w:val="24"/>
                <w:szCs w:val="28"/>
              </w:rPr>
              <w:t>3.投标文件</w:t>
            </w:r>
          </w:p>
        </w:tc>
      </w:tr>
      <w:tr w14:paraId="7E6962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84" w:hRule="atLeast"/>
        </w:trPr>
        <w:tc>
          <w:tcPr>
            <w:tcW w:w="387" w:type="pct"/>
            <w:tcBorders>
              <w:top w:val="single" w:color="auto" w:sz="4" w:space="0"/>
              <w:left w:val="single" w:color="auto" w:sz="4" w:space="0"/>
              <w:bottom w:val="single" w:color="auto" w:sz="4" w:space="0"/>
              <w:right w:val="single" w:color="auto" w:sz="4" w:space="0"/>
            </w:tcBorders>
            <w:noWrap w:val="0"/>
            <w:vAlign w:val="center"/>
          </w:tcPr>
          <w:p w14:paraId="3F32001A">
            <w:pPr>
              <w:spacing w:after="60" w:line="360" w:lineRule="auto"/>
              <w:jc w:val="center"/>
              <w:rPr>
                <w:rFonts w:hint="default" w:ascii="宋体" w:hAnsi="宋体" w:eastAsia="宋体"/>
                <w:snapToGrid w:val="0"/>
                <w:kern w:val="0"/>
                <w:sz w:val="24"/>
                <w:szCs w:val="28"/>
                <w:lang w:val="en-US" w:eastAsia="zh-CN"/>
              </w:rPr>
            </w:pPr>
            <w:r>
              <w:rPr>
                <w:rFonts w:hint="eastAsia" w:ascii="宋体" w:hAnsi="宋体"/>
                <w:snapToGrid w:val="0"/>
                <w:kern w:val="0"/>
                <w:sz w:val="24"/>
                <w:szCs w:val="28"/>
                <w:lang w:val="en-US" w:eastAsia="zh-CN"/>
              </w:rPr>
              <w:t>15</w:t>
            </w:r>
          </w:p>
        </w:tc>
        <w:tc>
          <w:tcPr>
            <w:tcW w:w="1184" w:type="pct"/>
            <w:tcBorders>
              <w:top w:val="single" w:color="auto" w:sz="4" w:space="0"/>
              <w:left w:val="single" w:color="auto" w:sz="4" w:space="0"/>
              <w:bottom w:val="single" w:color="auto" w:sz="4" w:space="0"/>
              <w:right w:val="single" w:color="auto" w:sz="4" w:space="0"/>
            </w:tcBorders>
            <w:noWrap w:val="0"/>
            <w:vAlign w:val="center"/>
          </w:tcPr>
          <w:p w14:paraId="59124653">
            <w:pPr>
              <w:spacing w:after="60" w:line="360" w:lineRule="auto"/>
              <w:jc w:val="center"/>
              <w:rPr>
                <w:rFonts w:hint="eastAsia" w:ascii="宋体" w:hAnsi="宋体"/>
                <w:snapToGrid w:val="0"/>
                <w:kern w:val="0"/>
                <w:sz w:val="24"/>
                <w:szCs w:val="28"/>
              </w:rPr>
            </w:pPr>
            <w:r>
              <w:rPr>
                <w:rFonts w:hint="eastAsia" w:ascii="宋体" w:hAnsi="宋体"/>
                <w:snapToGrid w:val="0"/>
                <w:kern w:val="0"/>
                <w:sz w:val="24"/>
                <w:szCs w:val="28"/>
              </w:rPr>
              <w:t>投标有效期</w:t>
            </w:r>
          </w:p>
        </w:tc>
        <w:tc>
          <w:tcPr>
            <w:tcW w:w="3427" w:type="pct"/>
            <w:gridSpan w:val="2"/>
            <w:tcBorders>
              <w:top w:val="single" w:color="auto" w:sz="4" w:space="0"/>
              <w:left w:val="single" w:color="auto" w:sz="4" w:space="0"/>
              <w:bottom w:val="single" w:color="auto" w:sz="4" w:space="0"/>
              <w:right w:val="single" w:color="auto" w:sz="4" w:space="0"/>
            </w:tcBorders>
            <w:noWrap w:val="0"/>
            <w:vAlign w:val="center"/>
          </w:tcPr>
          <w:p w14:paraId="024AAB81">
            <w:pPr>
              <w:spacing w:after="60" w:line="360" w:lineRule="auto"/>
              <w:rPr>
                <w:rFonts w:hint="eastAsia" w:ascii="宋体" w:hAnsi="宋体"/>
                <w:snapToGrid w:val="0"/>
                <w:kern w:val="0"/>
                <w:sz w:val="24"/>
                <w:szCs w:val="28"/>
              </w:rPr>
            </w:pPr>
            <w:r>
              <w:rPr>
                <w:rFonts w:hint="eastAsia" w:ascii="宋体" w:hAnsi="宋体"/>
                <w:snapToGrid w:val="0"/>
                <w:kern w:val="0"/>
                <w:sz w:val="24"/>
                <w:szCs w:val="28"/>
              </w:rPr>
              <w:t>投标有效期120天</w:t>
            </w:r>
          </w:p>
        </w:tc>
      </w:tr>
      <w:tr w14:paraId="5DA404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0" w:hRule="atLeast"/>
        </w:trPr>
        <w:tc>
          <w:tcPr>
            <w:tcW w:w="387" w:type="pct"/>
            <w:tcBorders>
              <w:top w:val="single" w:color="auto" w:sz="4" w:space="0"/>
              <w:left w:val="single" w:color="auto" w:sz="4" w:space="0"/>
              <w:bottom w:val="single" w:color="auto" w:sz="4" w:space="0"/>
              <w:right w:val="single" w:color="auto" w:sz="4" w:space="0"/>
            </w:tcBorders>
            <w:noWrap w:val="0"/>
            <w:vAlign w:val="center"/>
          </w:tcPr>
          <w:p w14:paraId="1D363754">
            <w:pPr>
              <w:spacing w:after="60" w:line="360" w:lineRule="auto"/>
              <w:jc w:val="center"/>
              <w:rPr>
                <w:rFonts w:hint="default" w:ascii="宋体" w:hAnsi="宋体" w:eastAsia="宋体"/>
                <w:snapToGrid w:val="0"/>
                <w:kern w:val="0"/>
                <w:sz w:val="24"/>
                <w:szCs w:val="28"/>
                <w:lang w:val="en-US" w:eastAsia="zh-CN"/>
              </w:rPr>
            </w:pPr>
            <w:r>
              <w:rPr>
                <w:rFonts w:hint="eastAsia" w:ascii="宋体" w:hAnsi="宋体"/>
                <w:snapToGrid w:val="0"/>
                <w:kern w:val="0"/>
                <w:sz w:val="24"/>
                <w:szCs w:val="28"/>
                <w:lang w:val="en-US" w:eastAsia="zh-CN"/>
              </w:rPr>
              <w:t>16</w:t>
            </w:r>
          </w:p>
        </w:tc>
        <w:tc>
          <w:tcPr>
            <w:tcW w:w="1184" w:type="pct"/>
            <w:tcBorders>
              <w:top w:val="single" w:color="auto" w:sz="4" w:space="0"/>
              <w:left w:val="single" w:color="auto" w:sz="4" w:space="0"/>
              <w:bottom w:val="single" w:color="auto" w:sz="4" w:space="0"/>
              <w:right w:val="single" w:color="auto" w:sz="4" w:space="0"/>
            </w:tcBorders>
            <w:noWrap w:val="0"/>
            <w:vAlign w:val="center"/>
          </w:tcPr>
          <w:p w14:paraId="056C60C0">
            <w:pPr>
              <w:spacing w:after="60" w:line="360" w:lineRule="auto"/>
              <w:jc w:val="center"/>
              <w:rPr>
                <w:rFonts w:hint="eastAsia" w:ascii="宋体" w:hAnsi="宋体"/>
                <w:snapToGrid w:val="0"/>
                <w:kern w:val="0"/>
                <w:sz w:val="24"/>
                <w:szCs w:val="28"/>
              </w:rPr>
            </w:pPr>
            <w:r>
              <w:rPr>
                <w:rFonts w:hint="eastAsia" w:ascii="宋体" w:hAnsi="宋体"/>
                <w:snapToGrid w:val="0"/>
                <w:kern w:val="0"/>
                <w:sz w:val="24"/>
                <w:szCs w:val="28"/>
              </w:rPr>
              <w:t>投标保证金</w:t>
            </w:r>
          </w:p>
        </w:tc>
        <w:tc>
          <w:tcPr>
            <w:tcW w:w="3427" w:type="pct"/>
            <w:gridSpan w:val="2"/>
            <w:tcBorders>
              <w:top w:val="single" w:color="auto" w:sz="4" w:space="0"/>
              <w:left w:val="single" w:color="auto" w:sz="4" w:space="0"/>
              <w:bottom w:val="single" w:color="auto" w:sz="4" w:space="0"/>
              <w:right w:val="single" w:color="auto" w:sz="4" w:space="0"/>
            </w:tcBorders>
            <w:noWrap w:val="0"/>
            <w:vAlign w:val="center"/>
          </w:tcPr>
          <w:p w14:paraId="3581CCD8">
            <w:pPr>
              <w:spacing w:after="60" w:line="360" w:lineRule="auto"/>
              <w:rPr>
                <w:rFonts w:hint="eastAsia" w:ascii="宋体" w:hAnsi="宋体"/>
                <w:snapToGrid w:val="0"/>
                <w:kern w:val="0"/>
                <w:sz w:val="24"/>
                <w:szCs w:val="28"/>
              </w:rPr>
            </w:pPr>
            <w:r>
              <w:rPr>
                <w:rFonts w:hint="eastAsia" w:ascii="宋体" w:hAnsi="宋体"/>
                <w:snapToGrid w:val="0"/>
                <w:kern w:val="0"/>
                <w:sz w:val="24"/>
                <w:szCs w:val="28"/>
              </w:rPr>
              <w:t>根据《深圳市财政局关于明确政府采购保证金管理工作的通知》的有关规定，本项目无需缴纳投标保证金。</w:t>
            </w:r>
          </w:p>
        </w:tc>
      </w:tr>
      <w:tr w14:paraId="7B9370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6" w:hRule="atLeast"/>
        </w:trPr>
        <w:tc>
          <w:tcPr>
            <w:tcW w:w="387" w:type="pct"/>
            <w:tcBorders>
              <w:top w:val="single" w:color="auto" w:sz="4" w:space="0"/>
              <w:left w:val="single" w:color="auto" w:sz="4" w:space="0"/>
              <w:bottom w:val="single" w:color="auto" w:sz="4" w:space="0"/>
              <w:right w:val="single" w:color="auto" w:sz="4" w:space="0"/>
            </w:tcBorders>
            <w:noWrap w:val="0"/>
            <w:vAlign w:val="center"/>
          </w:tcPr>
          <w:p w14:paraId="78D68485">
            <w:pPr>
              <w:spacing w:after="60" w:line="360" w:lineRule="auto"/>
              <w:jc w:val="center"/>
              <w:rPr>
                <w:rFonts w:hint="default" w:ascii="宋体" w:hAnsi="宋体" w:eastAsia="宋体"/>
                <w:snapToGrid w:val="0"/>
                <w:kern w:val="0"/>
                <w:sz w:val="24"/>
                <w:szCs w:val="28"/>
                <w:lang w:val="en-US" w:eastAsia="zh-CN"/>
              </w:rPr>
            </w:pPr>
            <w:r>
              <w:rPr>
                <w:rFonts w:hint="eastAsia" w:ascii="宋体" w:hAnsi="宋体"/>
                <w:snapToGrid w:val="0"/>
                <w:kern w:val="0"/>
                <w:sz w:val="24"/>
                <w:szCs w:val="28"/>
                <w:lang w:val="en-US" w:eastAsia="zh-CN"/>
              </w:rPr>
              <w:t>17</w:t>
            </w:r>
          </w:p>
        </w:tc>
        <w:tc>
          <w:tcPr>
            <w:tcW w:w="1184" w:type="pct"/>
            <w:tcBorders>
              <w:top w:val="single" w:color="auto" w:sz="4" w:space="0"/>
              <w:left w:val="single" w:color="auto" w:sz="4" w:space="0"/>
              <w:bottom w:val="single" w:color="auto" w:sz="4" w:space="0"/>
              <w:right w:val="single" w:color="auto" w:sz="4" w:space="0"/>
            </w:tcBorders>
            <w:noWrap w:val="0"/>
            <w:vAlign w:val="center"/>
          </w:tcPr>
          <w:p w14:paraId="5C951696">
            <w:pPr>
              <w:spacing w:after="60" w:line="360" w:lineRule="auto"/>
              <w:jc w:val="center"/>
              <w:rPr>
                <w:rFonts w:hint="eastAsia" w:ascii="宋体" w:hAnsi="宋体"/>
                <w:snapToGrid w:val="0"/>
                <w:kern w:val="0"/>
                <w:sz w:val="24"/>
                <w:szCs w:val="28"/>
              </w:rPr>
            </w:pPr>
            <w:r>
              <w:rPr>
                <w:rFonts w:hint="eastAsia" w:ascii="宋体" w:hAnsi="宋体"/>
                <w:snapToGrid w:val="0"/>
                <w:kern w:val="0"/>
                <w:sz w:val="24"/>
                <w:szCs w:val="28"/>
              </w:rPr>
              <w:t>签字或盖章要求</w:t>
            </w:r>
          </w:p>
        </w:tc>
        <w:tc>
          <w:tcPr>
            <w:tcW w:w="3427" w:type="pct"/>
            <w:gridSpan w:val="2"/>
            <w:tcBorders>
              <w:top w:val="single" w:color="auto" w:sz="4" w:space="0"/>
              <w:left w:val="single" w:color="auto" w:sz="4" w:space="0"/>
              <w:bottom w:val="single" w:color="auto" w:sz="4" w:space="0"/>
              <w:right w:val="single" w:color="auto" w:sz="4" w:space="0"/>
            </w:tcBorders>
            <w:noWrap w:val="0"/>
            <w:vAlign w:val="center"/>
          </w:tcPr>
          <w:p w14:paraId="0F27656E">
            <w:pPr>
              <w:spacing w:after="60" w:line="360" w:lineRule="auto"/>
              <w:rPr>
                <w:rFonts w:hint="eastAsia" w:ascii="宋体" w:hAnsi="宋体"/>
                <w:snapToGrid w:val="0"/>
                <w:kern w:val="0"/>
                <w:sz w:val="24"/>
                <w:szCs w:val="28"/>
              </w:rPr>
            </w:pPr>
            <w:r>
              <w:rPr>
                <w:rFonts w:hint="eastAsia" w:ascii="宋体" w:hAnsi="宋体"/>
                <w:snapToGrid w:val="0"/>
                <w:kern w:val="0"/>
                <w:sz w:val="24"/>
                <w:szCs w:val="28"/>
              </w:rPr>
              <w:t>公章指投标人经备案的行政公章，不包括“投标专用章”、“业务专用章”、“合同专用章”、“财务专用章”。</w:t>
            </w:r>
          </w:p>
          <w:p w14:paraId="7A3CADC6">
            <w:pPr>
              <w:spacing w:after="60" w:line="360" w:lineRule="auto"/>
              <w:rPr>
                <w:rFonts w:hint="eastAsia" w:ascii="宋体" w:hAnsi="宋体"/>
                <w:snapToGrid w:val="0"/>
                <w:kern w:val="0"/>
                <w:sz w:val="24"/>
                <w:szCs w:val="28"/>
              </w:rPr>
            </w:pPr>
            <w:r>
              <w:rPr>
                <w:rFonts w:hint="eastAsia" w:ascii="宋体" w:hAnsi="宋体"/>
                <w:snapToGrid w:val="0"/>
                <w:kern w:val="0"/>
                <w:sz w:val="24"/>
                <w:szCs w:val="28"/>
              </w:rPr>
              <w:t>投标文件中，扫描件（或复印件）应加盖公章。</w:t>
            </w:r>
          </w:p>
          <w:p w14:paraId="7B493EB1">
            <w:pPr>
              <w:spacing w:after="60" w:line="360" w:lineRule="auto"/>
              <w:rPr>
                <w:rFonts w:hint="eastAsia" w:ascii="宋体" w:hAnsi="宋体"/>
                <w:snapToGrid w:val="0"/>
                <w:kern w:val="0"/>
                <w:sz w:val="24"/>
                <w:szCs w:val="28"/>
              </w:rPr>
            </w:pPr>
            <w:r>
              <w:rPr>
                <w:rFonts w:hint="eastAsia" w:ascii="宋体" w:hAnsi="宋体"/>
                <w:snapToGrid w:val="0"/>
                <w:kern w:val="0"/>
                <w:sz w:val="24"/>
                <w:szCs w:val="28"/>
              </w:rPr>
              <w:t>投标文件应加盖骑缝章。</w:t>
            </w:r>
          </w:p>
          <w:p w14:paraId="10F759CA">
            <w:pPr>
              <w:spacing w:after="60" w:line="360" w:lineRule="auto"/>
              <w:rPr>
                <w:rFonts w:hint="eastAsia" w:ascii="宋体" w:hAnsi="宋体"/>
                <w:snapToGrid w:val="0"/>
                <w:kern w:val="0"/>
                <w:sz w:val="24"/>
                <w:szCs w:val="28"/>
              </w:rPr>
            </w:pPr>
            <w:r>
              <w:rPr>
                <w:rFonts w:hint="eastAsia" w:ascii="宋体" w:hAnsi="宋体"/>
                <w:snapToGrid w:val="0"/>
                <w:kern w:val="0"/>
                <w:sz w:val="24"/>
                <w:szCs w:val="28"/>
              </w:rPr>
              <w:t>签字方式可以是手写方式、盖人名章方式或盖手签章方式。</w:t>
            </w:r>
          </w:p>
          <w:p w14:paraId="0C0F6A07">
            <w:pPr>
              <w:spacing w:after="60" w:line="360" w:lineRule="auto"/>
              <w:rPr>
                <w:rFonts w:hint="eastAsia" w:ascii="宋体" w:hAnsi="宋体"/>
                <w:snapToGrid w:val="0"/>
                <w:kern w:val="0"/>
                <w:sz w:val="24"/>
                <w:szCs w:val="28"/>
              </w:rPr>
            </w:pPr>
            <w:r>
              <w:rPr>
                <w:rFonts w:hint="eastAsia" w:ascii="宋体" w:hAnsi="宋体"/>
                <w:snapToGrid w:val="0"/>
                <w:kern w:val="0"/>
                <w:sz w:val="24"/>
                <w:szCs w:val="28"/>
              </w:rPr>
              <w:t>投标文件中，未按招标文件的要求盖章或签字的内容将被视作无效。</w:t>
            </w:r>
          </w:p>
        </w:tc>
      </w:tr>
      <w:tr w14:paraId="73AA66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7" w:hRule="atLeast"/>
        </w:trPr>
        <w:tc>
          <w:tcPr>
            <w:tcW w:w="387" w:type="pct"/>
            <w:tcBorders>
              <w:top w:val="single" w:color="auto" w:sz="4" w:space="0"/>
              <w:left w:val="single" w:color="auto" w:sz="4" w:space="0"/>
              <w:bottom w:val="single" w:color="auto" w:sz="4" w:space="0"/>
              <w:right w:val="single" w:color="auto" w:sz="4" w:space="0"/>
            </w:tcBorders>
            <w:noWrap w:val="0"/>
            <w:vAlign w:val="center"/>
          </w:tcPr>
          <w:p w14:paraId="30E2E5D4">
            <w:pPr>
              <w:spacing w:after="60" w:line="360" w:lineRule="auto"/>
              <w:jc w:val="center"/>
              <w:rPr>
                <w:rFonts w:hint="default" w:ascii="宋体" w:hAnsi="宋体" w:eastAsia="宋体"/>
                <w:snapToGrid w:val="0"/>
                <w:kern w:val="0"/>
                <w:sz w:val="24"/>
                <w:szCs w:val="28"/>
                <w:lang w:val="en-US" w:eastAsia="zh-CN"/>
              </w:rPr>
            </w:pPr>
            <w:r>
              <w:rPr>
                <w:rFonts w:hint="eastAsia" w:ascii="宋体" w:hAnsi="宋体"/>
                <w:snapToGrid w:val="0"/>
                <w:kern w:val="0"/>
                <w:sz w:val="24"/>
                <w:szCs w:val="28"/>
                <w:lang w:val="en-US" w:eastAsia="zh-CN"/>
              </w:rPr>
              <w:t>18</w:t>
            </w:r>
          </w:p>
        </w:tc>
        <w:tc>
          <w:tcPr>
            <w:tcW w:w="1184" w:type="pct"/>
            <w:tcBorders>
              <w:top w:val="single" w:color="auto" w:sz="4" w:space="0"/>
              <w:left w:val="single" w:color="auto" w:sz="4" w:space="0"/>
              <w:bottom w:val="single" w:color="auto" w:sz="4" w:space="0"/>
              <w:right w:val="single" w:color="auto" w:sz="4" w:space="0"/>
            </w:tcBorders>
            <w:noWrap w:val="0"/>
            <w:vAlign w:val="center"/>
          </w:tcPr>
          <w:p w14:paraId="23C88621">
            <w:pPr>
              <w:spacing w:after="60" w:line="360" w:lineRule="auto"/>
              <w:jc w:val="center"/>
              <w:rPr>
                <w:rFonts w:hint="eastAsia" w:ascii="宋体" w:hAnsi="宋体"/>
                <w:snapToGrid w:val="0"/>
                <w:kern w:val="0"/>
                <w:sz w:val="24"/>
                <w:szCs w:val="28"/>
              </w:rPr>
            </w:pPr>
            <w:r>
              <w:rPr>
                <w:rFonts w:hint="eastAsia" w:ascii="宋体" w:hAnsi="宋体"/>
                <w:snapToGrid w:val="0"/>
                <w:kern w:val="0"/>
                <w:sz w:val="24"/>
                <w:szCs w:val="28"/>
              </w:rPr>
              <w:t>装订要求</w:t>
            </w:r>
          </w:p>
        </w:tc>
        <w:tc>
          <w:tcPr>
            <w:tcW w:w="3427" w:type="pct"/>
            <w:gridSpan w:val="2"/>
            <w:tcBorders>
              <w:top w:val="single" w:color="auto" w:sz="4" w:space="0"/>
              <w:left w:val="single" w:color="auto" w:sz="4" w:space="0"/>
              <w:bottom w:val="single" w:color="auto" w:sz="4" w:space="0"/>
              <w:right w:val="single" w:color="auto" w:sz="4" w:space="0"/>
            </w:tcBorders>
            <w:noWrap w:val="0"/>
            <w:vAlign w:val="center"/>
          </w:tcPr>
          <w:p w14:paraId="33C4889B">
            <w:pPr>
              <w:spacing w:after="60" w:line="360" w:lineRule="auto"/>
              <w:rPr>
                <w:rFonts w:hint="eastAsia" w:ascii="宋体" w:hAnsi="宋体"/>
                <w:snapToGrid w:val="0"/>
                <w:kern w:val="0"/>
                <w:sz w:val="24"/>
                <w:szCs w:val="28"/>
              </w:rPr>
            </w:pPr>
            <w:r>
              <w:rPr>
                <w:rFonts w:hint="eastAsia" w:ascii="宋体" w:hAnsi="宋体"/>
                <w:snapToGrid w:val="0"/>
                <w:kern w:val="0"/>
                <w:sz w:val="24"/>
                <w:szCs w:val="28"/>
              </w:rPr>
              <w:t>左侧纵向装订（胶装或其他不易松散、便于长期存档的装订方式），统一按顺序装订成册，不能采用活页装订方式。</w:t>
            </w:r>
          </w:p>
        </w:tc>
      </w:tr>
      <w:tr w14:paraId="16BAF3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78" w:hRule="atLeast"/>
        </w:trPr>
        <w:tc>
          <w:tcPr>
            <w:tcW w:w="387" w:type="pct"/>
            <w:tcBorders>
              <w:top w:val="single" w:color="auto" w:sz="4" w:space="0"/>
              <w:left w:val="single" w:color="auto" w:sz="4" w:space="0"/>
              <w:bottom w:val="single" w:color="auto" w:sz="4" w:space="0"/>
              <w:right w:val="single" w:color="auto" w:sz="4" w:space="0"/>
            </w:tcBorders>
            <w:noWrap w:val="0"/>
            <w:vAlign w:val="center"/>
          </w:tcPr>
          <w:p w14:paraId="6D5B20CD">
            <w:pPr>
              <w:spacing w:after="60" w:line="360" w:lineRule="auto"/>
              <w:jc w:val="center"/>
              <w:rPr>
                <w:rFonts w:hint="default" w:ascii="宋体" w:hAnsi="宋体" w:eastAsia="宋体"/>
                <w:snapToGrid w:val="0"/>
                <w:kern w:val="0"/>
                <w:sz w:val="24"/>
                <w:szCs w:val="28"/>
                <w:lang w:val="en-US" w:eastAsia="zh-CN"/>
              </w:rPr>
            </w:pPr>
            <w:r>
              <w:rPr>
                <w:rFonts w:hint="eastAsia" w:ascii="宋体" w:hAnsi="宋体"/>
                <w:snapToGrid w:val="0"/>
                <w:kern w:val="0"/>
                <w:sz w:val="24"/>
                <w:szCs w:val="28"/>
                <w:lang w:val="en-US" w:eastAsia="zh-CN"/>
              </w:rPr>
              <w:t>19</w:t>
            </w:r>
          </w:p>
        </w:tc>
        <w:tc>
          <w:tcPr>
            <w:tcW w:w="1184" w:type="pct"/>
            <w:tcBorders>
              <w:top w:val="single" w:color="auto" w:sz="4" w:space="0"/>
              <w:left w:val="single" w:color="auto" w:sz="4" w:space="0"/>
              <w:bottom w:val="single" w:color="auto" w:sz="4" w:space="0"/>
              <w:right w:val="single" w:color="auto" w:sz="4" w:space="0"/>
            </w:tcBorders>
            <w:noWrap w:val="0"/>
            <w:vAlign w:val="center"/>
          </w:tcPr>
          <w:p w14:paraId="285DCB07">
            <w:pPr>
              <w:spacing w:after="60" w:line="360" w:lineRule="auto"/>
              <w:jc w:val="center"/>
              <w:rPr>
                <w:rFonts w:hint="eastAsia" w:ascii="宋体" w:hAnsi="宋体"/>
                <w:snapToGrid w:val="0"/>
                <w:kern w:val="0"/>
                <w:sz w:val="24"/>
                <w:szCs w:val="28"/>
              </w:rPr>
            </w:pPr>
            <w:r>
              <w:rPr>
                <w:rFonts w:hint="eastAsia" w:ascii="宋体" w:hAnsi="宋体"/>
                <w:snapToGrid w:val="0"/>
                <w:kern w:val="0"/>
                <w:sz w:val="24"/>
                <w:szCs w:val="28"/>
              </w:rPr>
              <w:t>投标文件份数</w:t>
            </w:r>
          </w:p>
        </w:tc>
        <w:tc>
          <w:tcPr>
            <w:tcW w:w="3427" w:type="pct"/>
            <w:gridSpan w:val="2"/>
            <w:tcBorders>
              <w:top w:val="single" w:color="auto" w:sz="4" w:space="0"/>
              <w:left w:val="single" w:color="auto" w:sz="4" w:space="0"/>
              <w:bottom w:val="single" w:color="auto" w:sz="4" w:space="0"/>
              <w:right w:val="single" w:color="auto" w:sz="4" w:space="0"/>
            </w:tcBorders>
            <w:noWrap w:val="0"/>
            <w:vAlign w:val="center"/>
          </w:tcPr>
          <w:p w14:paraId="21347ED2">
            <w:pPr>
              <w:spacing w:after="60" w:line="360" w:lineRule="auto"/>
              <w:rPr>
                <w:rFonts w:hint="eastAsia" w:ascii="宋体" w:hAnsi="宋体"/>
                <w:b/>
                <w:bCs/>
                <w:snapToGrid w:val="0"/>
                <w:kern w:val="0"/>
                <w:sz w:val="24"/>
                <w:szCs w:val="28"/>
              </w:rPr>
            </w:pPr>
            <w:r>
              <w:rPr>
                <w:rFonts w:hint="eastAsia" w:ascii="宋体" w:hAnsi="宋体"/>
                <w:b/>
                <w:bCs/>
                <w:snapToGrid w:val="0"/>
                <w:kern w:val="0"/>
                <w:sz w:val="24"/>
                <w:szCs w:val="28"/>
                <w:lang w:val="en-US" w:eastAsia="zh-CN"/>
              </w:rPr>
              <w:t>本项目采取纸质投标，</w:t>
            </w:r>
            <w:r>
              <w:rPr>
                <w:rFonts w:hint="eastAsia" w:ascii="宋体" w:hAnsi="宋体"/>
                <w:b/>
                <w:bCs/>
                <w:snapToGrid w:val="0"/>
                <w:kern w:val="0"/>
                <w:sz w:val="24"/>
                <w:szCs w:val="28"/>
              </w:rPr>
              <w:t>正本一份，副本</w:t>
            </w:r>
            <w:r>
              <w:rPr>
                <w:rFonts w:hint="eastAsia" w:ascii="宋体" w:hAnsi="宋体"/>
                <w:b/>
                <w:bCs/>
                <w:snapToGrid w:val="0"/>
                <w:kern w:val="0"/>
                <w:sz w:val="24"/>
                <w:szCs w:val="28"/>
                <w:lang w:val="en-US" w:eastAsia="zh-CN"/>
              </w:rPr>
              <w:t>五</w:t>
            </w:r>
            <w:r>
              <w:rPr>
                <w:rFonts w:hint="eastAsia" w:ascii="宋体" w:hAnsi="宋体"/>
                <w:b/>
                <w:bCs/>
                <w:snapToGrid w:val="0"/>
                <w:kern w:val="0"/>
                <w:sz w:val="24"/>
                <w:szCs w:val="28"/>
              </w:rPr>
              <w:t>份，投标文件电子版一份。</w:t>
            </w:r>
          </w:p>
          <w:p w14:paraId="00541DB7">
            <w:pPr>
              <w:spacing w:after="60" w:line="360" w:lineRule="auto"/>
              <w:rPr>
                <w:rFonts w:hint="eastAsia" w:ascii="宋体" w:hAnsi="宋体"/>
                <w:snapToGrid w:val="0"/>
                <w:kern w:val="0"/>
                <w:sz w:val="24"/>
                <w:szCs w:val="28"/>
              </w:rPr>
            </w:pPr>
            <w:r>
              <w:rPr>
                <w:rFonts w:hint="eastAsia" w:ascii="宋体" w:hAnsi="宋体"/>
                <w:snapToGrid w:val="0"/>
                <w:kern w:val="0"/>
                <w:sz w:val="24"/>
                <w:szCs w:val="28"/>
              </w:rPr>
              <w:t>须在投标文件封面上清晰标识“正本（或副本）”字样</w:t>
            </w:r>
          </w:p>
        </w:tc>
      </w:tr>
      <w:tr w14:paraId="1C2507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51" w:hRule="atLeast"/>
        </w:trPr>
        <w:tc>
          <w:tcPr>
            <w:tcW w:w="387" w:type="pct"/>
            <w:tcBorders>
              <w:top w:val="single" w:color="auto" w:sz="4" w:space="0"/>
              <w:left w:val="single" w:color="auto" w:sz="4" w:space="0"/>
              <w:bottom w:val="single" w:color="auto" w:sz="4" w:space="0"/>
              <w:right w:val="single" w:color="auto" w:sz="4" w:space="0"/>
            </w:tcBorders>
            <w:noWrap w:val="0"/>
            <w:vAlign w:val="center"/>
          </w:tcPr>
          <w:p w14:paraId="75B7FEB8">
            <w:pPr>
              <w:spacing w:after="60" w:line="360" w:lineRule="auto"/>
              <w:jc w:val="center"/>
              <w:rPr>
                <w:rFonts w:hint="eastAsia" w:ascii="宋体" w:hAnsi="宋体" w:eastAsia="宋体"/>
                <w:snapToGrid w:val="0"/>
                <w:kern w:val="0"/>
                <w:sz w:val="24"/>
                <w:szCs w:val="28"/>
                <w:lang w:eastAsia="zh-CN"/>
              </w:rPr>
            </w:pPr>
            <w:r>
              <w:rPr>
                <w:rFonts w:hint="eastAsia" w:ascii="宋体" w:hAnsi="宋体"/>
                <w:snapToGrid w:val="0"/>
                <w:kern w:val="0"/>
                <w:sz w:val="24"/>
                <w:szCs w:val="28"/>
              </w:rPr>
              <w:t>2</w:t>
            </w:r>
            <w:r>
              <w:rPr>
                <w:rFonts w:hint="eastAsia" w:ascii="宋体" w:hAnsi="宋体"/>
                <w:snapToGrid w:val="0"/>
                <w:kern w:val="0"/>
                <w:sz w:val="24"/>
                <w:szCs w:val="28"/>
                <w:lang w:val="en-US" w:eastAsia="zh-CN"/>
              </w:rPr>
              <w:t>0</w:t>
            </w:r>
          </w:p>
        </w:tc>
        <w:tc>
          <w:tcPr>
            <w:tcW w:w="1184" w:type="pct"/>
            <w:tcBorders>
              <w:top w:val="single" w:color="auto" w:sz="4" w:space="0"/>
              <w:left w:val="single" w:color="auto" w:sz="4" w:space="0"/>
              <w:bottom w:val="single" w:color="auto" w:sz="4" w:space="0"/>
              <w:right w:val="single" w:color="auto" w:sz="4" w:space="0"/>
            </w:tcBorders>
            <w:noWrap w:val="0"/>
            <w:vAlign w:val="center"/>
          </w:tcPr>
          <w:p w14:paraId="2F6CEA57">
            <w:pPr>
              <w:spacing w:after="60" w:line="360" w:lineRule="auto"/>
              <w:jc w:val="center"/>
              <w:rPr>
                <w:rFonts w:hint="eastAsia" w:ascii="宋体" w:hAnsi="宋体"/>
                <w:snapToGrid w:val="0"/>
                <w:kern w:val="0"/>
                <w:sz w:val="24"/>
                <w:szCs w:val="28"/>
              </w:rPr>
            </w:pPr>
            <w:r>
              <w:rPr>
                <w:rFonts w:hint="eastAsia" w:ascii="宋体" w:hAnsi="宋体"/>
                <w:snapToGrid w:val="0"/>
                <w:kern w:val="0"/>
                <w:sz w:val="24"/>
                <w:szCs w:val="28"/>
              </w:rPr>
              <w:t>投标文件电子版</w:t>
            </w:r>
          </w:p>
        </w:tc>
        <w:tc>
          <w:tcPr>
            <w:tcW w:w="3427" w:type="pct"/>
            <w:gridSpan w:val="2"/>
            <w:tcBorders>
              <w:top w:val="single" w:color="auto" w:sz="4" w:space="0"/>
              <w:left w:val="single" w:color="auto" w:sz="4" w:space="0"/>
              <w:bottom w:val="single" w:color="auto" w:sz="4" w:space="0"/>
              <w:right w:val="single" w:color="auto" w:sz="4" w:space="0"/>
            </w:tcBorders>
            <w:noWrap w:val="0"/>
            <w:vAlign w:val="center"/>
          </w:tcPr>
          <w:p w14:paraId="1264478F">
            <w:pPr>
              <w:spacing w:after="60" w:line="360" w:lineRule="auto"/>
              <w:rPr>
                <w:rFonts w:hint="eastAsia" w:ascii="宋体" w:hAnsi="宋体"/>
                <w:snapToGrid w:val="0"/>
                <w:kern w:val="0"/>
                <w:sz w:val="24"/>
                <w:szCs w:val="28"/>
              </w:rPr>
            </w:pPr>
            <w:r>
              <w:rPr>
                <w:rFonts w:hint="eastAsia" w:ascii="宋体" w:hAnsi="宋体"/>
                <w:snapToGrid w:val="0"/>
                <w:kern w:val="0"/>
                <w:sz w:val="24"/>
                <w:szCs w:val="28"/>
              </w:rPr>
              <w:t>投标文件电子版以</w:t>
            </w:r>
            <w:r>
              <w:rPr>
                <w:rFonts w:hint="eastAsia" w:ascii="宋体" w:hAnsi="宋体"/>
                <w:b/>
                <w:bCs/>
                <w:snapToGrid w:val="0"/>
                <w:kern w:val="0"/>
                <w:sz w:val="24"/>
                <w:szCs w:val="28"/>
                <w:u w:val="single"/>
                <w:lang w:val="zh-CN"/>
              </w:rPr>
              <w:t>U盘</w:t>
            </w:r>
            <w:r>
              <w:rPr>
                <w:rFonts w:hint="eastAsia" w:ascii="宋体" w:hAnsi="宋体"/>
                <w:snapToGrid w:val="0"/>
                <w:kern w:val="0"/>
                <w:sz w:val="24"/>
                <w:szCs w:val="28"/>
                <w:lang w:val="zh-CN"/>
              </w:rPr>
              <w:t>存储方式递交</w:t>
            </w:r>
            <w:r>
              <w:rPr>
                <w:rFonts w:hint="eastAsia" w:ascii="宋体" w:hAnsi="宋体"/>
                <w:b/>
                <w:bCs/>
                <w:snapToGrid w:val="0"/>
                <w:kern w:val="0"/>
                <w:sz w:val="24"/>
                <w:szCs w:val="28"/>
                <w:u w:val="single"/>
                <w:lang w:val="zh-CN"/>
              </w:rPr>
              <w:t>（PDF 格式的正本投标文件盖章连续扫描件</w:t>
            </w:r>
            <w:r>
              <w:rPr>
                <w:rFonts w:hint="eastAsia" w:ascii="宋体" w:hAnsi="宋体"/>
                <w:b/>
                <w:bCs/>
                <w:snapToGrid w:val="0"/>
                <w:kern w:val="0"/>
                <w:sz w:val="24"/>
                <w:szCs w:val="28"/>
                <w:u w:val="single"/>
                <w:lang w:val="en-US" w:eastAsia="zh-CN"/>
              </w:rPr>
              <w:t>和可编辑的word格式电子投标文件</w:t>
            </w:r>
            <w:r>
              <w:rPr>
                <w:rFonts w:hint="eastAsia" w:ascii="宋体" w:hAnsi="宋体"/>
                <w:b/>
                <w:bCs/>
                <w:snapToGrid w:val="0"/>
                <w:kern w:val="0"/>
                <w:sz w:val="24"/>
                <w:szCs w:val="28"/>
                <w:u w:val="single"/>
                <w:lang w:val="zh-CN"/>
              </w:rPr>
              <w:t>）一份</w:t>
            </w:r>
            <w:r>
              <w:rPr>
                <w:rFonts w:hint="eastAsia" w:ascii="宋体" w:hAnsi="宋体"/>
                <w:snapToGrid w:val="0"/>
                <w:kern w:val="0"/>
                <w:sz w:val="24"/>
                <w:szCs w:val="28"/>
                <w:lang w:val="zh-CN"/>
              </w:rPr>
              <w:t>，</w:t>
            </w:r>
            <w:r>
              <w:rPr>
                <w:rFonts w:hint="eastAsia" w:ascii="宋体" w:hAnsi="宋体"/>
                <w:snapToGrid w:val="0"/>
                <w:kern w:val="0"/>
                <w:sz w:val="24"/>
                <w:szCs w:val="28"/>
              </w:rPr>
              <w:t>U盘上应标明投标人名称，电子文件封装在“唱标信封”密封袋中。</w:t>
            </w:r>
          </w:p>
        </w:tc>
      </w:tr>
      <w:tr w14:paraId="442DE5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51" w:hRule="atLeast"/>
        </w:trPr>
        <w:tc>
          <w:tcPr>
            <w:tcW w:w="387" w:type="pct"/>
            <w:tcBorders>
              <w:top w:val="single" w:color="auto" w:sz="4" w:space="0"/>
              <w:left w:val="single" w:color="auto" w:sz="4" w:space="0"/>
              <w:bottom w:val="single" w:color="auto" w:sz="4" w:space="0"/>
              <w:right w:val="single" w:color="auto" w:sz="4" w:space="0"/>
            </w:tcBorders>
            <w:noWrap w:val="0"/>
            <w:vAlign w:val="center"/>
          </w:tcPr>
          <w:p w14:paraId="5C8D2099">
            <w:pPr>
              <w:spacing w:after="60" w:line="360" w:lineRule="auto"/>
              <w:jc w:val="center"/>
              <w:rPr>
                <w:rFonts w:hint="default" w:ascii="宋体" w:hAnsi="宋体" w:eastAsia="宋体"/>
                <w:snapToGrid w:val="0"/>
                <w:kern w:val="0"/>
                <w:sz w:val="24"/>
                <w:szCs w:val="28"/>
                <w:lang w:val="en-US" w:eastAsia="zh-CN"/>
              </w:rPr>
            </w:pPr>
            <w:r>
              <w:rPr>
                <w:rFonts w:hint="eastAsia" w:ascii="宋体" w:hAnsi="宋体"/>
                <w:snapToGrid w:val="0"/>
                <w:kern w:val="0"/>
                <w:sz w:val="24"/>
                <w:szCs w:val="28"/>
                <w:lang w:val="en-US" w:eastAsia="zh-CN"/>
              </w:rPr>
              <w:t>21</w:t>
            </w:r>
          </w:p>
        </w:tc>
        <w:tc>
          <w:tcPr>
            <w:tcW w:w="1184" w:type="pct"/>
            <w:tcBorders>
              <w:top w:val="single" w:color="auto" w:sz="4" w:space="0"/>
              <w:left w:val="single" w:color="auto" w:sz="4" w:space="0"/>
              <w:bottom w:val="single" w:color="auto" w:sz="4" w:space="0"/>
              <w:right w:val="single" w:color="auto" w:sz="4" w:space="0"/>
            </w:tcBorders>
            <w:noWrap w:val="0"/>
            <w:vAlign w:val="center"/>
          </w:tcPr>
          <w:p w14:paraId="48C219E5">
            <w:pPr>
              <w:spacing w:after="60" w:line="360" w:lineRule="auto"/>
              <w:jc w:val="center"/>
              <w:rPr>
                <w:rFonts w:hint="eastAsia" w:ascii="宋体" w:hAnsi="宋体"/>
                <w:snapToGrid w:val="0"/>
                <w:kern w:val="0"/>
                <w:sz w:val="24"/>
                <w:szCs w:val="28"/>
              </w:rPr>
            </w:pPr>
            <w:r>
              <w:rPr>
                <w:rFonts w:hint="eastAsia" w:ascii="宋体" w:hAnsi="宋体"/>
                <w:snapToGrid w:val="0"/>
                <w:kern w:val="0"/>
                <w:sz w:val="24"/>
                <w:szCs w:val="28"/>
              </w:rPr>
              <w:t>密封及封套要求</w:t>
            </w:r>
          </w:p>
        </w:tc>
        <w:tc>
          <w:tcPr>
            <w:tcW w:w="3427" w:type="pct"/>
            <w:gridSpan w:val="2"/>
            <w:tcBorders>
              <w:top w:val="single" w:color="auto" w:sz="4" w:space="0"/>
              <w:left w:val="single" w:color="auto" w:sz="4" w:space="0"/>
              <w:bottom w:val="single" w:color="auto" w:sz="4" w:space="0"/>
              <w:right w:val="single" w:color="auto" w:sz="4" w:space="0"/>
            </w:tcBorders>
            <w:noWrap w:val="0"/>
            <w:vAlign w:val="center"/>
          </w:tcPr>
          <w:p w14:paraId="12D64EF0">
            <w:pPr>
              <w:spacing w:after="60" w:line="360" w:lineRule="auto"/>
              <w:rPr>
                <w:rFonts w:hint="eastAsia" w:ascii="宋体" w:hAnsi="宋体"/>
                <w:b/>
                <w:bCs/>
                <w:snapToGrid w:val="0"/>
                <w:kern w:val="0"/>
                <w:sz w:val="24"/>
                <w:szCs w:val="28"/>
                <w:lang w:val="zh-CN"/>
              </w:rPr>
            </w:pPr>
            <w:r>
              <w:rPr>
                <w:rFonts w:hint="eastAsia" w:ascii="宋体" w:hAnsi="宋体"/>
                <w:b/>
                <w:bCs/>
                <w:snapToGrid w:val="0"/>
                <w:kern w:val="0"/>
                <w:sz w:val="24"/>
                <w:szCs w:val="28"/>
              </w:rPr>
              <w:t>密封袋1：</w:t>
            </w:r>
            <w:r>
              <w:rPr>
                <w:rFonts w:hint="eastAsia" w:ascii="宋体" w:hAnsi="宋体"/>
                <w:b/>
                <w:bCs/>
                <w:snapToGrid w:val="0"/>
                <w:kern w:val="0"/>
                <w:sz w:val="24"/>
                <w:szCs w:val="28"/>
                <w:lang w:val="zh-CN"/>
              </w:rPr>
              <w:t>投标文件[正本/副本]</w:t>
            </w:r>
          </w:p>
          <w:p w14:paraId="2DF1C325">
            <w:pPr>
              <w:spacing w:after="60" w:line="360" w:lineRule="auto"/>
              <w:rPr>
                <w:rFonts w:hint="eastAsia" w:ascii="宋体" w:hAnsi="宋体"/>
                <w:b/>
                <w:bCs/>
                <w:snapToGrid w:val="0"/>
                <w:kern w:val="0"/>
                <w:sz w:val="24"/>
                <w:szCs w:val="28"/>
                <w:lang w:val="zh-CN"/>
              </w:rPr>
            </w:pPr>
            <w:r>
              <w:rPr>
                <w:rFonts w:hint="eastAsia" w:ascii="宋体" w:hAnsi="宋体"/>
                <w:b/>
                <w:bCs/>
                <w:snapToGrid w:val="0"/>
                <w:kern w:val="0"/>
                <w:sz w:val="24"/>
                <w:szCs w:val="28"/>
                <w:lang w:val="zh-CN"/>
              </w:rPr>
              <w:t>密封袋2：唱标信封[开标一览表/</w:t>
            </w:r>
            <w:r>
              <w:rPr>
                <w:rFonts w:hint="eastAsia" w:ascii="宋体" w:hAnsi="宋体"/>
                <w:b/>
                <w:bCs/>
                <w:snapToGrid w:val="0"/>
                <w:kern w:val="0"/>
                <w:sz w:val="24"/>
                <w:szCs w:val="28"/>
              </w:rPr>
              <w:t>分项目报价单/</w:t>
            </w:r>
            <w:r>
              <w:rPr>
                <w:rFonts w:hint="eastAsia" w:ascii="宋体" w:hAnsi="宋体"/>
                <w:b/>
                <w:bCs/>
                <w:snapToGrid w:val="0"/>
                <w:kern w:val="0"/>
                <w:sz w:val="24"/>
                <w:szCs w:val="28"/>
                <w:lang w:val="zh-CN"/>
              </w:rPr>
              <w:t>法定代表人证明书及授权委托书/电子文件/享受政府采购优惠政策证明文件（若有）]</w:t>
            </w:r>
          </w:p>
          <w:p w14:paraId="0DC2A6A8">
            <w:pPr>
              <w:spacing w:after="60" w:line="360" w:lineRule="auto"/>
              <w:rPr>
                <w:rFonts w:hint="eastAsia" w:ascii="宋体" w:hAnsi="宋体"/>
                <w:snapToGrid w:val="0"/>
                <w:kern w:val="0"/>
                <w:sz w:val="24"/>
                <w:szCs w:val="28"/>
              </w:rPr>
            </w:pPr>
            <w:r>
              <w:rPr>
                <w:rFonts w:hint="eastAsia" w:ascii="宋体" w:hAnsi="宋体"/>
                <w:snapToGrid w:val="0"/>
                <w:kern w:val="0"/>
                <w:sz w:val="24"/>
                <w:szCs w:val="28"/>
                <w:lang w:val="zh-CN"/>
              </w:rPr>
              <w:t>密封袋封面标明投标人名称、地址、项目名称、投标文件名称、并注明开标时间之前不得开封（在封口位置的封条上标注注明），封口位置须加盖投标人公章。格式详见第一章 四 投标文件的密封和标记</w:t>
            </w:r>
          </w:p>
        </w:tc>
      </w:tr>
      <w:tr w14:paraId="40F5D6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3" w:hRule="atLeast"/>
        </w:trPr>
        <w:tc>
          <w:tcPr>
            <w:tcW w:w="5000" w:type="pct"/>
            <w:gridSpan w:val="4"/>
            <w:tcBorders>
              <w:top w:val="single" w:color="auto" w:sz="4" w:space="0"/>
              <w:left w:val="single" w:color="auto" w:sz="4" w:space="0"/>
              <w:bottom w:val="single" w:color="auto" w:sz="4" w:space="0"/>
              <w:right w:val="single" w:color="auto" w:sz="4" w:space="0"/>
            </w:tcBorders>
            <w:noWrap w:val="0"/>
            <w:vAlign w:val="center"/>
          </w:tcPr>
          <w:p w14:paraId="3EA5CA05">
            <w:pPr>
              <w:spacing w:after="60" w:line="360" w:lineRule="auto"/>
              <w:jc w:val="center"/>
              <w:rPr>
                <w:rFonts w:hint="eastAsia" w:ascii="宋体" w:hAnsi="宋体"/>
                <w:snapToGrid w:val="0"/>
                <w:kern w:val="0"/>
                <w:sz w:val="24"/>
                <w:szCs w:val="28"/>
              </w:rPr>
            </w:pPr>
            <w:r>
              <w:rPr>
                <w:rFonts w:hint="eastAsia" w:ascii="宋体" w:hAnsi="宋体"/>
                <w:b/>
                <w:bCs/>
                <w:snapToGrid w:val="0"/>
                <w:kern w:val="0"/>
                <w:sz w:val="24"/>
                <w:szCs w:val="28"/>
              </w:rPr>
              <w:t>4.投标</w:t>
            </w:r>
          </w:p>
        </w:tc>
      </w:tr>
      <w:tr w14:paraId="043499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04" w:hRule="atLeast"/>
        </w:trPr>
        <w:tc>
          <w:tcPr>
            <w:tcW w:w="387" w:type="pct"/>
            <w:tcBorders>
              <w:top w:val="single" w:color="auto" w:sz="4" w:space="0"/>
              <w:left w:val="single" w:color="auto" w:sz="4" w:space="0"/>
              <w:bottom w:val="single" w:color="auto" w:sz="4" w:space="0"/>
              <w:right w:val="single" w:color="auto" w:sz="4" w:space="0"/>
            </w:tcBorders>
            <w:noWrap w:val="0"/>
            <w:vAlign w:val="center"/>
          </w:tcPr>
          <w:p w14:paraId="03B76E1B">
            <w:pPr>
              <w:spacing w:after="60" w:line="360" w:lineRule="auto"/>
              <w:jc w:val="center"/>
              <w:rPr>
                <w:rFonts w:hint="eastAsia" w:ascii="宋体" w:hAnsi="宋体" w:eastAsia="宋体"/>
                <w:snapToGrid w:val="0"/>
                <w:kern w:val="0"/>
                <w:sz w:val="24"/>
                <w:szCs w:val="28"/>
                <w:lang w:eastAsia="zh-CN"/>
              </w:rPr>
            </w:pPr>
            <w:r>
              <w:rPr>
                <w:rFonts w:hint="eastAsia" w:ascii="宋体" w:hAnsi="宋体"/>
                <w:snapToGrid w:val="0"/>
                <w:kern w:val="0"/>
                <w:sz w:val="24"/>
                <w:szCs w:val="28"/>
              </w:rPr>
              <w:t>2</w:t>
            </w:r>
            <w:r>
              <w:rPr>
                <w:rFonts w:hint="eastAsia" w:ascii="宋体" w:hAnsi="宋体"/>
                <w:snapToGrid w:val="0"/>
                <w:kern w:val="0"/>
                <w:sz w:val="24"/>
                <w:szCs w:val="28"/>
                <w:lang w:val="en-US" w:eastAsia="zh-CN"/>
              </w:rPr>
              <w:t>2</w:t>
            </w:r>
          </w:p>
        </w:tc>
        <w:tc>
          <w:tcPr>
            <w:tcW w:w="1184" w:type="pct"/>
            <w:tcBorders>
              <w:top w:val="single" w:color="auto" w:sz="4" w:space="0"/>
              <w:left w:val="single" w:color="auto" w:sz="4" w:space="0"/>
              <w:bottom w:val="single" w:color="auto" w:sz="4" w:space="0"/>
              <w:right w:val="single" w:color="auto" w:sz="4" w:space="0"/>
            </w:tcBorders>
            <w:noWrap w:val="0"/>
            <w:vAlign w:val="center"/>
          </w:tcPr>
          <w:p w14:paraId="72B6B0E2">
            <w:pPr>
              <w:spacing w:after="60" w:line="360" w:lineRule="auto"/>
              <w:jc w:val="center"/>
              <w:rPr>
                <w:rFonts w:hint="eastAsia" w:ascii="宋体" w:hAnsi="宋体"/>
                <w:snapToGrid w:val="0"/>
                <w:kern w:val="0"/>
                <w:sz w:val="24"/>
                <w:szCs w:val="28"/>
              </w:rPr>
            </w:pPr>
            <w:r>
              <w:rPr>
                <w:rFonts w:hint="eastAsia" w:ascii="宋体" w:hAnsi="宋体"/>
                <w:snapToGrid w:val="0"/>
                <w:kern w:val="0"/>
                <w:sz w:val="24"/>
                <w:szCs w:val="28"/>
              </w:rPr>
              <w:t>递交投标文件时间地点</w:t>
            </w:r>
          </w:p>
        </w:tc>
        <w:tc>
          <w:tcPr>
            <w:tcW w:w="3427" w:type="pct"/>
            <w:gridSpan w:val="2"/>
            <w:tcBorders>
              <w:top w:val="single" w:color="auto" w:sz="4" w:space="0"/>
              <w:left w:val="single" w:color="auto" w:sz="4" w:space="0"/>
              <w:bottom w:val="single" w:color="auto" w:sz="4" w:space="0"/>
              <w:right w:val="single" w:color="auto" w:sz="4" w:space="0"/>
            </w:tcBorders>
            <w:noWrap w:val="0"/>
            <w:vAlign w:val="center"/>
          </w:tcPr>
          <w:p w14:paraId="685EB478">
            <w:pPr>
              <w:spacing w:after="60" w:line="360" w:lineRule="auto"/>
              <w:rPr>
                <w:rFonts w:hint="eastAsia" w:ascii="宋体" w:hAnsi="宋体"/>
                <w:snapToGrid w:val="0"/>
                <w:kern w:val="0"/>
                <w:sz w:val="24"/>
                <w:szCs w:val="28"/>
              </w:rPr>
            </w:pPr>
            <w:r>
              <w:rPr>
                <w:rFonts w:hint="eastAsia" w:ascii="宋体" w:hAnsi="宋体"/>
                <w:snapToGrid w:val="0"/>
                <w:kern w:val="0"/>
                <w:sz w:val="24"/>
                <w:szCs w:val="28"/>
              </w:rPr>
              <w:t>详见招标公告</w:t>
            </w:r>
          </w:p>
        </w:tc>
      </w:tr>
      <w:tr w14:paraId="2FA8B7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1" w:hRule="atLeast"/>
        </w:trPr>
        <w:tc>
          <w:tcPr>
            <w:tcW w:w="5000" w:type="pct"/>
            <w:gridSpan w:val="4"/>
            <w:tcBorders>
              <w:top w:val="single" w:color="auto" w:sz="4" w:space="0"/>
              <w:left w:val="single" w:color="auto" w:sz="4" w:space="0"/>
              <w:bottom w:val="single" w:color="auto" w:sz="4" w:space="0"/>
              <w:right w:val="single" w:color="auto" w:sz="4" w:space="0"/>
            </w:tcBorders>
            <w:noWrap w:val="0"/>
            <w:vAlign w:val="center"/>
          </w:tcPr>
          <w:p w14:paraId="5B793292">
            <w:pPr>
              <w:spacing w:after="60" w:line="360" w:lineRule="auto"/>
              <w:jc w:val="center"/>
              <w:rPr>
                <w:rFonts w:hint="eastAsia" w:ascii="宋体" w:hAnsi="宋体"/>
                <w:snapToGrid w:val="0"/>
                <w:kern w:val="0"/>
                <w:sz w:val="24"/>
                <w:szCs w:val="28"/>
              </w:rPr>
            </w:pPr>
            <w:r>
              <w:rPr>
                <w:rFonts w:hint="eastAsia" w:ascii="宋体" w:hAnsi="宋体"/>
                <w:b/>
                <w:bCs/>
                <w:snapToGrid w:val="0"/>
                <w:kern w:val="0"/>
                <w:sz w:val="24"/>
                <w:szCs w:val="28"/>
              </w:rPr>
              <w:t>5.开标</w:t>
            </w:r>
          </w:p>
        </w:tc>
      </w:tr>
      <w:tr w14:paraId="648009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03" w:hRule="atLeast"/>
        </w:trPr>
        <w:tc>
          <w:tcPr>
            <w:tcW w:w="387" w:type="pct"/>
            <w:tcBorders>
              <w:top w:val="single" w:color="auto" w:sz="4" w:space="0"/>
              <w:left w:val="single" w:color="auto" w:sz="4" w:space="0"/>
              <w:bottom w:val="single" w:color="auto" w:sz="4" w:space="0"/>
              <w:right w:val="single" w:color="auto" w:sz="4" w:space="0"/>
            </w:tcBorders>
            <w:noWrap w:val="0"/>
            <w:vAlign w:val="center"/>
          </w:tcPr>
          <w:p w14:paraId="6BFB5778">
            <w:pPr>
              <w:spacing w:after="60" w:line="360" w:lineRule="auto"/>
              <w:jc w:val="center"/>
              <w:rPr>
                <w:rFonts w:hint="default" w:ascii="宋体" w:hAnsi="宋体" w:eastAsia="宋体"/>
                <w:snapToGrid w:val="0"/>
                <w:kern w:val="0"/>
                <w:sz w:val="24"/>
                <w:szCs w:val="28"/>
                <w:lang w:val="en-US" w:eastAsia="zh-CN"/>
              </w:rPr>
            </w:pPr>
            <w:r>
              <w:rPr>
                <w:rFonts w:hint="eastAsia" w:ascii="宋体" w:hAnsi="宋体"/>
                <w:snapToGrid w:val="0"/>
                <w:kern w:val="0"/>
                <w:sz w:val="24"/>
                <w:szCs w:val="28"/>
                <w:lang w:val="en-US" w:eastAsia="zh-CN"/>
              </w:rPr>
              <w:t>23</w:t>
            </w:r>
          </w:p>
        </w:tc>
        <w:tc>
          <w:tcPr>
            <w:tcW w:w="1184" w:type="pct"/>
            <w:tcBorders>
              <w:top w:val="single" w:color="auto" w:sz="4" w:space="0"/>
              <w:left w:val="single" w:color="auto" w:sz="4" w:space="0"/>
              <w:bottom w:val="single" w:color="auto" w:sz="4" w:space="0"/>
              <w:right w:val="single" w:color="auto" w:sz="4" w:space="0"/>
            </w:tcBorders>
            <w:noWrap w:val="0"/>
            <w:vAlign w:val="center"/>
          </w:tcPr>
          <w:p w14:paraId="0AEE3596">
            <w:pPr>
              <w:spacing w:after="60" w:line="360" w:lineRule="auto"/>
              <w:jc w:val="center"/>
              <w:rPr>
                <w:rFonts w:hint="eastAsia" w:ascii="宋体" w:hAnsi="宋体"/>
                <w:snapToGrid w:val="0"/>
                <w:kern w:val="0"/>
                <w:sz w:val="24"/>
                <w:szCs w:val="28"/>
              </w:rPr>
            </w:pPr>
            <w:r>
              <w:rPr>
                <w:rFonts w:hint="eastAsia" w:ascii="宋体" w:hAnsi="宋体"/>
                <w:snapToGrid w:val="0"/>
                <w:kern w:val="0"/>
                <w:sz w:val="24"/>
                <w:szCs w:val="28"/>
              </w:rPr>
              <w:t>开标时间（投标截止时间）和地点</w:t>
            </w:r>
          </w:p>
        </w:tc>
        <w:tc>
          <w:tcPr>
            <w:tcW w:w="3427" w:type="pct"/>
            <w:gridSpan w:val="2"/>
            <w:tcBorders>
              <w:top w:val="single" w:color="auto" w:sz="4" w:space="0"/>
              <w:left w:val="single" w:color="auto" w:sz="4" w:space="0"/>
              <w:bottom w:val="single" w:color="auto" w:sz="4" w:space="0"/>
              <w:right w:val="single" w:color="auto" w:sz="4" w:space="0"/>
            </w:tcBorders>
            <w:noWrap w:val="0"/>
            <w:vAlign w:val="center"/>
          </w:tcPr>
          <w:p w14:paraId="59EC4D22">
            <w:pPr>
              <w:spacing w:after="60" w:line="360" w:lineRule="auto"/>
              <w:rPr>
                <w:rFonts w:hint="eastAsia" w:ascii="宋体" w:hAnsi="宋体"/>
                <w:snapToGrid w:val="0"/>
                <w:kern w:val="0"/>
                <w:sz w:val="24"/>
                <w:szCs w:val="28"/>
              </w:rPr>
            </w:pPr>
            <w:r>
              <w:rPr>
                <w:rFonts w:hint="eastAsia" w:ascii="宋体" w:hAnsi="宋体"/>
                <w:snapToGrid w:val="0"/>
                <w:kern w:val="0"/>
                <w:sz w:val="24"/>
                <w:szCs w:val="28"/>
              </w:rPr>
              <w:t>招标公告</w:t>
            </w:r>
          </w:p>
        </w:tc>
      </w:tr>
      <w:tr w14:paraId="2A2840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03" w:hRule="atLeast"/>
        </w:trPr>
        <w:tc>
          <w:tcPr>
            <w:tcW w:w="387" w:type="pct"/>
            <w:tcBorders>
              <w:top w:val="single" w:color="auto" w:sz="4" w:space="0"/>
              <w:left w:val="single" w:color="auto" w:sz="4" w:space="0"/>
              <w:bottom w:val="single" w:color="auto" w:sz="4" w:space="0"/>
              <w:right w:val="single" w:color="auto" w:sz="4" w:space="0"/>
            </w:tcBorders>
            <w:noWrap w:val="0"/>
            <w:vAlign w:val="center"/>
          </w:tcPr>
          <w:p w14:paraId="0A245AF3">
            <w:pPr>
              <w:spacing w:after="60" w:line="360" w:lineRule="auto"/>
              <w:jc w:val="center"/>
              <w:rPr>
                <w:rFonts w:hint="default" w:ascii="宋体" w:hAnsi="宋体" w:eastAsia="宋体"/>
                <w:snapToGrid w:val="0"/>
                <w:kern w:val="0"/>
                <w:sz w:val="24"/>
                <w:szCs w:val="28"/>
                <w:lang w:val="en-US" w:eastAsia="zh-CN"/>
              </w:rPr>
            </w:pPr>
            <w:r>
              <w:rPr>
                <w:rFonts w:hint="eastAsia" w:ascii="宋体" w:hAnsi="宋体"/>
                <w:snapToGrid w:val="0"/>
                <w:kern w:val="0"/>
                <w:sz w:val="24"/>
                <w:szCs w:val="28"/>
                <w:lang w:val="en-US" w:eastAsia="zh-CN"/>
              </w:rPr>
              <w:t>24</w:t>
            </w:r>
          </w:p>
        </w:tc>
        <w:tc>
          <w:tcPr>
            <w:tcW w:w="1184" w:type="pct"/>
            <w:tcBorders>
              <w:top w:val="single" w:color="auto" w:sz="4" w:space="0"/>
              <w:left w:val="single" w:color="auto" w:sz="4" w:space="0"/>
              <w:bottom w:val="single" w:color="auto" w:sz="4" w:space="0"/>
              <w:right w:val="single" w:color="auto" w:sz="4" w:space="0"/>
            </w:tcBorders>
            <w:noWrap w:val="0"/>
            <w:vAlign w:val="center"/>
          </w:tcPr>
          <w:p w14:paraId="3693619B">
            <w:pPr>
              <w:spacing w:after="60" w:line="360" w:lineRule="auto"/>
              <w:jc w:val="center"/>
              <w:rPr>
                <w:rFonts w:hint="eastAsia" w:ascii="宋体" w:hAnsi="宋体"/>
                <w:snapToGrid w:val="0"/>
                <w:kern w:val="0"/>
                <w:sz w:val="24"/>
                <w:szCs w:val="28"/>
              </w:rPr>
            </w:pPr>
            <w:r>
              <w:rPr>
                <w:rFonts w:hint="eastAsia" w:ascii="宋体" w:hAnsi="宋体"/>
                <w:snapToGrid w:val="0"/>
                <w:kern w:val="0"/>
                <w:sz w:val="24"/>
                <w:szCs w:val="28"/>
              </w:rPr>
              <w:t>逾期递交投标文件</w:t>
            </w:r>
          </w:p>
        </w:tc>
        <w:tc>
          <w:tcPr>
            <w:tcW w:w="3427" w:type="pct"/>
            <w:gridSpan w:val="2"/>
            <w:tcBorders>
              <w:top w:val="single" w:color="auto" w:sz="4" w:space="0"/>
              <w:left w:val="single" w:color="auto" w:sz="4" w:space="0"/>
              <w:bottom w:val="single" w:color="auto" w:sz="4" w:space="0"/>
              <w:right w:val="single" w:color="auto" w:sz="4" w:space="0"/>
            </w:tcBorders>
            <w:noWrap w:val="0"/>
            <w:vAlign w:val="center"/>
          </w:tcPr>
          <w:p w14:paraId="64C7B888">
            <w:pPr>
              <w:spacing w:after="60" w:line="360" w:lineRule="auto"/>
              <w:rPr>
                <w:rFonts w:hint="eastAsia" w:ascii="宋体" w:hAnsi="宋体"/>
                <w:snapToGrid w:val="0"/>
                <w:kern w:val="0"/>
                <w:sz w:val="24"/>
                <w:szCs w:val="28"/>
              </w:rPr>
            </w:pPr>
            <w:r>
              <w:rPr>
                <w:rFonts w:hint="eastAsia" w:ascii="宋体" w:hAnsi="宋体"/>
                <w:snapToGrid w:val="0"/>
                <w:kern w:val="0"/>
                <w:sz w:val="24"/>
                <w:szCs w:val="28"/>
                <w:lang w:val="zh-CN"/>
              </w:rPr>
              <w:t>采购代理机构将拒绝并原封退回投标截止时间后收到的任何投标文件。</w:t>
            </w:r>
          </w:p>
        </w:tc>
      </w:tr>
      <w:tr w14:paraId="584CA4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03" w:hRule="atLeast"/>
        </w:trPr>
        <w:tc>
          <w:tcPr>
            <w:tcW w:w="387" w:type="pct"/>
            <w:tcBorders>
              <w:top w:val="single" w:color="auto" w:sz="4" w:space="0"/>
              <w:left w:val="single" w:color="auto" w:sz="4" w:space="0"/>
              <w:bottom w:val="single" w:color="auto" w:sz="4" w:space="0"/>
              <w:right w:val="single" w:color="auto" w:sz="4" w:space="0"/>
            </w:tcBorders>
            <w:noWrap w:val="0"/>
            <w:vAlign w:val="center"/>
          </w:tcPr>
          <w:p w14:paraId="23E0CEEC">
            <w:pPr>
              <w:spacing w:after="60" w:line="360" w:lineRule="auto"/>
              <w:jc w:val="center"/>
              <w:rPr>
                <w:rFonts w:hint="default" w:ascii="宋体" w:hAnsi="宋体" w:eastAsia="宋体"/>
                <w:snapToGrid w:val="0"/>
                <w:kern w:val="0"/>
                <w:sz w:val="24"/>
                <w:szCs w:val="28"/>
                <w:lang w:val="en-US" w:eastAsia="zh-CN"/>
              </w:rPr>
            </w:pPr>
            <w:r>
              <w:rPr>
                <w:rFonts w:hint="eastAsia" w:ascii="宋体" w:hAnsi="宋体"/>
                <w:snapToGrid w:val="0"/>
                <w:kern w:val="0"/>
                <w:sz w:val="24"/>
                <w:szCs w:val="28"/>
                <w:lang w:val="en-US" w:eastAsia="zh-CN"/>
              </w:rPr>
              <w:t>25</w:t>
            </w:r>
          </w:p>
        </w:tc>
        <w:tc>
          <w:tcPr>
            <w:tcW w:w="1184" w:type="pct"/>
            <w:tcBorders>
              <w:top w:val="single" w:color="auto" w:sz="4" w:space="0"/>
              <w:left w:val="single" w:color="auto" w:sz="4" w:space="0"/>
              <w:bottom w:val="single" w:color="auto" w:sz="4" w:space="0"/>
              <w:right w:val="single" w:color="auto" w:sz="4" w:space="0"/>
            </w:tcBorders>
            <w:noWrap w:val="0"/>
            <w:vAlign w:val="center"/>
          </w:tcPr>
          <w:p w14:paraId="6D98D185">
            <w:pPr>
              <w:spacing w:after="60" w:line="360" w:lineRule="auto"/>
              <w:jc w:val="center"/>
              <w:rPr>
                <w:rFonts w:hint="eastAsia" w:ascii="宋体" w:hAnsi="宋体"/>
                <w:snapToGrid w:val="0"/>
                <w:kern w:val="0"/>
                <w:sz w:val="24"/>
                <w:szCs w:val="28"/>
              </w:rPr>
            </w:pPr>
            <w:r>
              <w:rPr>
                <w:rFonts w:hint="eastAsia" w:ascii="宋体" w:hAnsi="宋体"/>
                <w:snapToGrid w:val="0"/>
                <w:kern w:val="0"/>
                <w:sz w:val="24"/>
                <w:szCs w:val="28"/>
              </w:rPr>
              <w:t>投标文件递交地点</w:t>
            </w:r>
          </w:p>
        </w:tc>
        <w:tc>
          <w:tcPr>
            <w:tcW w:w="3427" w:type="pct"/>
            <w:gridSpan w:val="2"/>
            <w:tcBorders>
              <w:top w:val="single" w:color="auto" w:sz="4" w:space="0"/>
              <w:left w:val="single" w:color="auto" w:sz="4" w:space="0"/>
              <w:bottom w:val="single" w:color="auto" w:sz="4" w:space="0"/>
              <w:right w:val="single" w:color="auto" w:sz="4" w:space="0"/>
            </w:tcBorders>
            <w:noWrap w:val="0"/>
            <w:vAlign w:val="center"/>
          </w:tcPr>
          <w:p w14:paraId="13B76AE7">
            <w:pPr>
              <w:spacing w:after="60" w:line="360" w:lineRule="auto"/>
              <w:rPr>
                <w:rFonts w:hint="eastAsia" w:ascii="宋体" w:hAnsi="宋体"/>
                <w:snapToGrid w:val="0"/>
                <w:kern w:val="0"/>
                <w:sz w:val="24"/>
                <w:szCs w:val="28"/>
              </w:rPr>
            </w:pPr>
            <w:r>
              <w:rPr>
                <w:rFonts w:hint="eastAsia" w:ascii="宋体" w:hAnsi="宋体"/>
                <w:snapToGrid w:val="0"/>
                <w:kern w:val="0"/>
                <w:sz w:val="24"/>
                <w:szCs w:val="28"/>
                <w:lang w:val="zh-CN"/>
              </w:rPr>
              <w:t>深圳市福田区沙头街道天安社区泰然八路33号云松大厦十层10E</w:t>
            </w:r>
          </w:p>
        </w:tc>
      </w:tr>
      <w:tr w14:paraId="619029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11" w:hRule="atLeast"/>
        </w:trPr>
        <w:tc>
          <w:tcPr>
            <w:tcW w:w="5000" w:type="pct"/>
            <w:gridSpan w:val="4"/>
            <w:tcBorders>
              <w:top w:val="single" w:color="auto" w:sz="4" w:space="0"/>
              <w:left w:val="single" w:color="auto" w:sz="4" w:space="0"/>
              <w:bottom w:val="single" w:color="auto" w:sz="4" w:space="0"/>
              <w:right w:val="single" w:color="auto" w:sz="4" w:space="0"/>
            </w:tcBorders>
            <w:noWrap w:val="0"/>
            <w:vAlign w:val="center"/>
          </w:tcPr>
          <w:p w14:paraId="498F670D">
            <w:pPr>
              <w:spacing w:after="60" w:line="360" w:lineRule="auto"/>
              <w:jc w:val="center"/>
              <w:rPr>
                <w:rFonts w:hint="eastAsia" w:ascii="宋体" w:hAnsi="宋体"/>
                <w:snapToGrid w:val="0"/>
                <w:kern w:val="0"/>
                <w:sz w:val="24"/>
                <w:szCs w:val="28"/>
              </w:rPr>
            </w:pPr>
            <w:r>
              <w:rPr>
                <w:rFonts w:hint="eastAsia" w:ascii="宋体" w:hAnsi="宋体"/>
                <w:b/>
                <w:bCs/>
                <w:snapToGrid w:val="0"/>
                <w:kern w:val="0"/>
                <w:sz w:val="24"/>
                <w:szCs w:val="28"/>
              </w:rPr>
              <w:t>6.资格审查及评标</w:t>
            </w:r>
          </w:p>
        </w:tc>
      </w:tr>
      <w:tr w14:paraId="2C7407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03" w:hRule="atLeast"/>
        </w:trPr>
        <w:tc>
          <w:tcPr>
            <w:tcW w:w="387" w:type="pct"/>
            <w:tcBorders>
              <w:top w:val="single" w:color="auto" w:sz="4" w:space="0"/>
              <w:left w:val="single" w:color="auto" w:sz="4" w:space="0"/>
              <w:bottom w:val="single" w:color="auto" w:sz="4" w:space="0"/>
              <w:right w:val="single" w:color="auto" w:sz="4" w:space="0"/>
            </w:tcBorders>
            <w:noWrap w:val="0"/>
            <w:vAlign w:val="center"/>
          </w:tcPr>
          <w:p w14:paraId="1FB598CA">
            <w:pPr>
              <w:spacing w:after="60" w:line="360" w:lineRule="auto"/>
              <w:jc w:val="center"/>
              <w:rPr>
                <w:rFonts w:hint="default" w:ascii="宋体" w:hAnsi="宋体" w:eastAsia="宋体"/>
                <w:snapToGrid w:val="0"/>
                <w:kern w:val="0"/>
                <w:sz w:val="24"/>
                <w:szCs w:val="28"/>
                <w:lang w:val="en-US" w:eastAsia="zh-CN"/>
              </w:rPr>
            </w:pPr>
            <w:r>
              <w:rPr>
                <w:rFonts w:hint="eastAsia" w:ascii="宋体" w:hAnsi="宋体"/>
                <w:snapToGrid w:val="0"/>
                <w:kern w:val="0"/>
                <w:sz w:val="24"/>
                <w:szCs w:val="28"/>
                <w:lang w:val="en-US" w:eastAsia="zh-CN"/>
              </w:rPr>
              <w:t>26</w:t>
            </w:r>
          </w:p>
        </w:tc>
        <w:tc>
          <w:tcPr>
            <w:tcW w:w="1269" w:type="pct"/>
            <w:gridSpan w:val="2"/>
            <w:tcBorders>
              <w:top w:val="single" w:color="auto" w:sz="4" w:space="0"/>
              <w:left w:val="single" w:color="auto" w:sz="4" w:space="0"/>
              <w:bottom w:val="single" w:color="auto" w:sz="4" w:space="0"/>
              <w:right w:val="single" w:color="auto" w:sz="4" w:space="0"/>
            </w:tcBorders>
            <w:noWrap w:val="0"/>
            <w:vAlign w:val="center"/>
          </w:tcPr>
          <w:p w14:paraId="63760699">
            <w:pPr>
              <w:spacing w:after="60" w:line="360" w:lineRule="auto"/>
              <w:jc w:val="center"/>
              <w:rPr>
                <w:rFonts w:hint="eastAsia" w:ascii="宋体" w:hAnsi="宋体"/>
                <w:snapToGrid w:val="0"/>
                <w:kern w:val="0"/>
                <w:sz w:val="24"/>
                <w:szCs w:val="28"/>
              </w:rPr>
            </w:pPr>
            <w:r>
              <w:rPr>
                <w:rFonts w:hint="eastAsia" w:ascii="宋体" w:hAnsi="宋体"/>
                <w:snapToGrid w:val="0"/>
                <w:kern w:val="0"/>
                <w:sz w:val="24"/>
                <w:szCs w:val="28"/>
              </w:rPr>
              <w:t>评标委员会的组建</w:t>
            </w:r>
          </w:p>
        </w:tc>
        <w:tc>
          <w:tcPr>
            <w:tcW w:w="3342" w:type="pct"/>
            <w:tcBorders>
              <w:top w:val="single" w:color="auto" w:sz="4" w:space="0"/>
              <w:left w:val="single" w:color="auto" w:sz="4" w:space="0"/>
              <w:bottom w:val="single" w:color="auto" w:sz="4" w:space="0"/>
              <w:right w:val="single" w:color="auto" w:sz="4" w:space="0"/>
            </w:tcBorders>
            <w:noWrap w:val="0"/>
            <w:vAlign w:val="center"/>
          </w:tcPr>
          <w:p w14:paraId="205DDC93">
            <w:pPr>
              <w:spacing w:after="60" w:line="400" w:lineRule="exact"/>
              <w:rPr>
                <w:rFonts w:hint="eastAsia" w:ascii="宋体" w:hAnsi="宋体"/>
                <w:snapToGrid w:val="0"/>
                <w:kern w:val="0"/>
                <w:sz w:val="24"/>
                <w:szCs w:val="28"/>
              </w:rPr>
            </w:pPr>
            <w:r>
              <w:rPr>
                <w:rFonts w:hint="eastAsia" w:ascii="宋体" w:hAnsi="宋体"/>
                <w:snapToGrid w:val="0"/>
                <w:kern w:val="0"/>
                <w:sz w:val="24"/>
                <w:szCs w:val="28"/>
              </w:rPr>
              <w:t>评标委员会构成：</w:t>
            </w:r>
          </w:p>
          <w:p w14:paraId="28B056C5">
            <w:pPr>
              <w:spacing w:after="60" w:line="400" w:lineRule="exact"/>
              <w:rPr>
                <w:rFonts w:hint="eastAsia" w:ascii="宋体" w:hAnsi="宋体"/>
                <w:snapToGrid w:val="0"/>
                <w:kern w:val="0"/>
                <w:sz w:val="24"/>
                <w:szCs w:val="28"/>
              </w:rPr>
            </w:pPr>
            <w:r>
              <w:rPr>
                <w:rFonts w:hint="eastAsia" w:ascii="宋体" w:hAnsi="宋体"/>
                <w:snapToGrid w:val="0"/>
                <w:kern w:val="0"/>
                <w:sz w:val="24"/>
                <w:szCs w:val="28"/>
              </w:rPr>
              <w:t>□适用评标定标分离的：成员人数为5人以上（含5人）单数；</w:t>
            </w:r>
          </w:p>
          <w:p w14:paraId="52C61C82">
            <w:pPr>
              <w:spacing w:after="60" w:line="400" w:lineRule="exact"/>
              <w:rPr>
                <w:rFonts w:hint="eastAsia" w:ascii="宋体" w:hAnsi="宋体"/>
                <w:snapToGrid w:val="0"/>
                <w:kern w:val="0"/>
                <w:sz w:val="24"/>
                <w:szCs w:val="28"/>
              </w:rPr>
            </w:pPr>
            <w:r>
              <w:rPr>
                <w:rFonts w:hint="eastAsia" w:ascii="宋体" w:hAnsi="宋体"/>
                <w:snapToGrid w:val="0"/>
                <w:kern w:val="0"/>
                <w:sz w:val="24"/>
                <w:szCs w:val="28"/>
              </w:rPr>
              <w:t>■不适用评标定标分离的：成员人数为5人以上（含5人）单数。</w:t>
            </w:r>
          </w:p>
          <w:p w14:paraId="4374A897">
            <w:pPr>
              <w:spacing w:after="60" w:line="400" w:lineRule="exact"/>
              <w:rPr>
                <w:rFonts w:hint="eastAsia" w:ascii="宋体" w:hAnsi="宋体"/>
                <w:snapToGrid w:val="0"/>
                <w:kern w:val="0"/>
                <w:sz w:val="24"/>
                <w:szCs w:val="28"/>
              </w:rPr>
            </w:pPr>
            <w:r>
              <w:rPr>
                <w:rFonts w:hint="eastAsia" w:ascii="宋体" w:hAnsi="宋体"/>
                <w:snapToGrid w:val="0"/>
                <w:kern w:val="0"/>
                <w:sz w:val="24"/>
                <w:szCs w:val="28"/>
              </w:rPr>
              <w:t>注：其中技术、经济等方面的专家不少于成员总数的三分之二。</w:t>
            </w:r>
          </w:p>
        </w:tc>
      </w:tr>
      <w:tr w14:paraId="37969A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36" w:hRule="atLeast"/>
        </w:trPr>
        <w:tc>
          <w:tcPr>
            <w:tcW w:w="387" w:type="pct"/>
            <w:tcBorders>
              <w:top w:val="single" w:color="auto" w:sz="4" w:space="0"/>
              <w:left w:val="single" w:color="auto" w:sz="4" w:space="0"/>
              <w:bottom w:val="single" w:color="auto" w:sz="4" w:space="0"/>
              <w:right w:val="single" w:color="auto" w:sz="4" w:space="0"/>
            </w:tcBorders>
            <w:noWrap w:val="0"/>
            <w:vAlign w:val="center"/>
          </w:tcPr>
          <w:p w14:paraId="6D8CB667">
            <w:pPr>
              <w:spacing w:after="60" w:line="360" w:lineRule="auto"/>
              <w:jc w:val="center"/>
              <w:rPr>
                <w:rFonts w:hint="default" w:ascii="宋体" w:hAnsi="宋体" w:eastAsia="宋体"/>
                <w:snapToGrid w:val="0"/>
                <w:kern w:val="0"/>
                <w:sz w:val="24"/>
                <w:szCs w:val="28"/>
                <w:lang w:val="en-US" w:eastAsia="zh-CN"/>
              </w:rPr>
            </w:pPr>
            <w:r>
              <w:rPr>
                <w:rFonts w:hint="eastAsia" w:ascii="宋体" w:hAnsi="宋体"/>
                <w:snapToGrid w:val="0"/>
                <w:kern w:val="0"/>
                <w:sz w:val="24"/>
                <w:szCs w:val="28"/>
                <w:lang w:val="en-US" w:eastAsia="zh-CN"/>
              </w:rPr>
              <w:t>27</w:t>
            </w:r>
          </w:p>
        </w:tc>
        <w:tc>
          <w:tcPr>
            <w:tcW w:w="1269" w:type="pct"/>
            <w:gridSpan w:val="2"/>
            <w:tcBorders>
              <w:top w:val="single" w:color="auto" w:sz="4" w:space="0"/>
              <w:left w:val="single" w:color="auto" w:sz="4" w:space="0"/>
              <w:bottom w:val="single" w:color="auto" w:sz="4" w:space="0"/>
              <w:right w:val="single" w:color="auto" w:sz="4" w:space="0"/>
            </w:tcBorders>
            <w:noWrap w:val="0"/>
            <w:vAlign w:val="center"/>
          </w:tcPr>
          <w:p w14:paraId="2F990C09">
            <w:pPr>
              <w:spacing w:after="60" w:line="360" w:lineRule="auto"/>
              <w:jc w:val="center"/>
              <w:rPr>
                <w:rFonts w:hint="eastAsia" w:ascii="宋体" w:hAnsi="宋体"/>
                <w:snapToGrid w:val="0"/>
                <w:kern w:val="0"/>
                <w:sz w:val="24"/>
                <w:szCs w:val="28"/>
              </w:rPr>
            </w:pPr>
            <w:r>
              <w:rPr>
                <w:rFonts w:hint="eastAsia" w:ascii="宋体" w:hAnsi="宋体"/>
                <w:snapToGrid w:val="0"/>
                <w:kern w:val="0"/>
                <w:sz w:val="24"/>
                <w:szCs w:val="28"/>
              </w:rPr>
              <w:t>资格审查方式</w:t>
            </w:r>
          </w:p>
        </w:tc>
        <w:tc>
          <w:tcPr>
            <w:tcW w:w="3342" w:type="pct"/>
            <w:tcBorders>
              <w:top w:val="single" w:color="auto" w:sz="4" w:space="0"/>
              <w:left w:val="single" w:color="auto" w:sz="4" w:space="0"/>
              <w:bottom w:val="single" w:color="auto" w:sz="4" w:space="0"/>
              <w:right w:val="single" w:color="auto" w:sz="4" w:space="0"/>
            </w:tcBorders>
            <w:noWrap w:val="0"/>
            <w:vAlign w:val="center"/>
          </w:tcPr>
          <w:p w14:paraId="23E85A09">
            <w:pPr>
              <w:spacing w:after="60" w:line="360" w:lineRule="auto"/>
              <w:rPr>
                <w:rFonts w:hint="eastAsia" w:ascii="宋体" w:hAnsi="宋体"/>
                <w:snapToGrid w:val="0"/>
                <w:kern w:val="0"/>
                <w:sz w:val="24"/>
                <w:szCs w:val="28"/>
              </w:rPr>
            </w:pPr>
            <w:r>
              <w:rPr>
                <w:rFonts w:hint="eastAsia" w:ascii="宋体" w:hAnsi="宋体"/>
                <w:snapToGrid w:val="0"/>
                <w:kern w:val="0"/>
                <w:sz w:val="24"/>
                <w:szCs w:val="28"/>
              </w:rPr>
              <w:t>资格后审</w:t>
            </w:r>
          </w:p>
        </w:tc>
      </w:tr>
      <w:tr w14:paraId="702C64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03" w:hRule="atLeast"/>
        </w:trPr>
        <w:tc>
          <w:tcPr>
            <w:tcW w:w="387" w:type="pct"/>
            <w:tcBorders>
              <w:top w:val="single" w:color="auto" w:sz="4" w:space="0"/>
              <w:left w:val="single" w:color="auto" w:sz="4" w:space="0"/>
              <w:bottom w:val="single" w:color="auto" w:sz="4" w:space="0"/>
              <w:right w:val="single" w:color="auto" w:sz="4" w:space="0"/>
            </w:tcBorders>
            <w:noWrap w:val="0"/>
            <w:vAlign w:val="center"/>
          </w:tcPr>
          <w:p w14:paraId="3F107F73">
            <w:pPr>
              <w:spacing w:after="60" w:line="360" w:lineRule="auto"/>
              <w:jc w:val="center"/>
              <w:rPr>
                <w:rFonts w:hint="default" w:ascii="宋体" w:hAnsi="宋体" w:eastAsia="宋体"/>
                <w:snapToGrid w:val="0"/>
                <w:kern w:val="0"/>
                <w:sz w:val="24"/>
                <w:szCs w:val="28"/>
                <w:lang w:val="en-US" w:eastAsia="zh-CN"/>
              </w:rPr>
            </w:pPr>
            <w:r>
              <w:rPr>
                <w:rFonts w:hint="eastAsia" w:ascii="宋体" w:hAnsi="宋体"/>
                <w:snapToGrid w:val="0"/>
                <w:kern w:val="0"/>
                <w:sz w:val="24"/>
                <w:szCs w:val="28"/>
                <w:lang w:val="en-US" w:eastAsia="zh-CN"/>
              </w:rPr>
              <w:t>28</w:t>
            </w:r>
          </w:p>
        </w:tc>
        <w:tc>
          <w:tcPr>
            <w:tcW w:w="1269" w:type="pct"/>
            <w:gridSpan w:val="2"/>
            <w:tcBorders>
              <w:top w:val="single" w:color="auto" w:sz="4" w:space="0"/>
              <w:left w:val="single" w:color="auto" w:sz="4" w:space="0"/>
              <w:bottom w:val="single" w:color="auto" w:sz="4" w:space="0"/>
              <w:right w:val="single" w:color="auto" w:sz="4" w:space="0"/>
            </w:tcBorders>
            <w:noWrap w:val="0"/>
            <w:vAlign w:val="center"/>
          </w:tcPr>
          <w:p w14:paraId="3BA2D3E6">
            <w:pPr>
              <w:spacing w:after="60" w:line="360" w:lineRule="auto"/>
              <w:jc w:val="center"/>
              <w:rPr>
                <w:rFonts w:hint="eastAsia" w:ascii="宋体" w:hAnsi="宋体"/>
                <w:snapToGrid w:val="0"/>
                <w:kern w:val="0"/>
                <w:sz w:val="24"/>
                <w:szCs w:val="28"/>
              </w:rPr>
            </w:pPr>
            <w:r>
              <w:rPr>
                <w:rFonts w:hint="eastAsia" w:ascii="宋体" w:hAnsi="宋体"/>
                <w:snapToGrid w:val="0"/>
                <w:kern w:val="0"/>
                <w:sz w:val="24"/>
                <w:szCs w:val="28"/>
              </w:rPr>
              <w:t>项目采购模式及评标定标方法</w:t>
            </w:r>
          </w:p>
        </w:tc>
        <w:tc>
          <w:tcPr>
            <w:tcW w:w="3342" w:type="pct"/>
            <w:tcBorders>
              <w:top w:val="single" w:color="auto" w:sz="4" w:space="0"/>
              <w:left w:val="single" w:color="auto" w:sz="4" w:space="0"/>
              <w:bottom w:val="single" w:color="auto" w:sz="4" w:space="0"/>
              <w:right w:val="single" w:color="auto" w:sz="4" w:space="0"/>
            </w:tcBorders>
            <w:noWrap w:val="0"/>
            <w:vAlign w:val="center"/>
          </w:tcPr>
          <w:p w14:paraId="70D59357">
            <w:pPr>
              <w:spacing w:after="60" w:line="360" w:lineRule="auto"/>
              <w:rPr>
                <w:rFonts w:hint="eastAsia" w:ascii="宋体" w:hAnsi="宋体"/>
                <w:snapToGrid w:val="0"/>
                <w:kern w:val="0"/>
                <w:sz w:val="24"/>
                <w:szCs w:val="28"/>
              </w:rPr>
            </w:pPr>
            <w:r>
              <w:rPr>
                <w:rFonts w:hint="eastAsia" w:ascii="宋体" w:hAnsi="宋体"/>
                <w:snapToGrid w:val="0"/>
                <w:kern w:val="0"/>
                <w:sz w:val="24"/>
                <w:szCs w:val="28"/>
              </w:rPr>
              <w:t>■授权确定模式</w:t>
            </w:r>
          </w:p>
          <w:p w14:paraId="7FAC27AD">
            <w:pPr>
              <w:spacing w:after="60" w:line="360" w:lineRule="auto"/>
              <w:rPr>
                <w:rFonts w:hint="eastAsia" w:ascii="宋体" w:hAnsi="宋体"/>
                <w:snapToGrid w:val="0"/>
                <w:kern w:val="0"/>
                <w:sz w:val="24"/>
                <w:szCs w:val="28"/>
              </w:rPr>
            </w:pPr>
            <w:r>
              <w:rPr>
                <w:rFonts w:hint="eastAsia" w:ascii="宋体" w:hAnsi="宋体"/>
                <w:snapToGrid w:val="0"/>
                <w:kern w:val="0"/>
                <w:sz w:val="24"/>
                <w:szCs w:val="28"/>
              </w:rPr>
              <w:t>评标定标方法：■综合评分法□最低价法</w:t>
            </w:r>
          </w:p>
          <w:p w14:paraId="124EA3FD">
            <w:pPr>
              <w:spacing w:after="60" w:line="360" w:lineRule="auto"/>
              <w:rPr>
                <w:rFonts w:hint="eastAsia" w:ascii="宋体" w:hAnsi="宋体"/>
                <w:snapToGrid w:val="0"/>
                <w:kern w:val="0"/>
                <w:sz w:val="24"/>
                <w:szCs w:val="28"/>
              </w:rPr>
            </w:pPr>
            <w:r>
              <w:rPr>
                <w:rFonts w:hint="eastAsia" w:ascii="宋体" w:hAnsi="宋体"/>
                <w:snapToGrid w:val="0"/>
                <w:kern w:val="0"/>
                <w:sz w:val="24"/>
                <w:szCs w:val="28"/>
              </w:rPr>
              <w:t>□评标定标分离模式</w:t>
            </w:r>
          </w:p>
          <w:p w14:paraId="3CEEEF0F">
            <w:pPr>
              <w:spacing w:after="60" w:line="360" w:lineRule="auto"/>
              <w:rPr>
                <w:rFonts w:hint="eastAsia" w:ascii="宋体" w:hAnsi="宋体"/>
                <w:snapToGrid w:val="0"/>
                <w:kern w:val="0"/>
                <w:sz w:val="24"/>
                <w:szCs w:val="28"/>
              </w:rPr>
            </w:pPr>
            <w:r>
              <w:rPr>
                <w:rFonts w:hint="eastAsia" w:ascii="宋体" w:hAnsi="宋体"/>
                <w:snapToGrid w:val="0"/>
                <w:kern w:val="0"/>
                <w:sz w:val="24"/>
                <w:szCs w:val="28"/>
              </w:rPr>
              <w:t>评标方法：□综合评分法□定性评审法□最低价法</w:t>
            </w:r>
          </w:p>
          <w:p w14:paraId="2105AFDF">
            <w:pPr>
              <w:spacing w:after="60" w:line="360" w:lineRule="auto"/>
              <w:rPr>
                <w:rFonts w:hint="eastAsia" w:ascii="宋体" w:hAnsi="宋体"/>
                <w:snapToGrid w:val="0"/>
                <w:kern w:val="0"/>
                <w:sz w:val="24"/>
                <w:szCs w:val="28"/>
              </w:rPr>
            </w:pPr>
            <w:r>
              <w:rPr>
                <w:rFonts w:hint="eastAsia" w:ascii="宋体" w:hAnsi="宋体"/>
                <w:snapToGrid w:val="0"/>
                <w:kern w:val="0"/>
                <w:sz w:val="24"/>
                <w:szCs w:val="28"/>
              </w:rPr>
              <w:t>定标方法：□自定法□抽签法□竞价法</w:t>
            </w:r>
          </w:p>
        </w:tc>
      </w:tr>
      <w:tr w14:paraId="7490FD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03" w:hRule="atLeast"/>
        </w:trPr>
        <w:tc>
          <w:tcPr>
            <w:tcW w:w="387" w:type="pct"/>
            <w:tcBorders>
              <w:top w:val="single" w:color="auto" w:sz="4" w:space="0"/>
              <w:left w:val="single" w:color="auto" w:sz="4" w:space="0"/>
              <w:bottom w:val="single" w:color="auto" w:sz="4" w:space="0"/>
              <w:right w:val="single" w:color="auto" w:sz="4" w:space="0"/>
            </w:tcBorders>
            <w:noWrap w:val="0"/>
            <w:vAlign w:val="center"/>
          </w:tcPr>
          <w:p w14:paraId="20A7018B">
            <w:pPr>
              <w:spacing w:after="60" w:line="360" w:lineRule="auto"/>
              <w:jc w:val="center"/>
              <w:rPr>
                <w:rFonts w:hint="default" w:ascii="宋体" w:hAnsi="宋体" w:eastAsia="宋体"/>
                <w:snapToGrid w:val="0"/>
                <w:kern w:val="0"/>
                <w:sz w:val="24"/>
                <w:szCs w:val="28"/>
                <w:lang w:val="en-US" w:eastAsia="zh-CN"/>
              </w:rPr>
            </w:pPr>
            <w:r>
              <w:rPr>
                <w:rFonts w:hint="eastAsia" w:ascii="宋体" w:hAnsi="宋体"/>
                <w:snapToGrid w:val="0"/>
                <w:kern w:val="0"/>
                <w:sz w:val="24"/>
                <w:szCs w:val="28"/>
                <w:lang w:val="en-US" w:eastAsia="zh-CN"/>
              </w:rPr>
              <w:t>29</w:t>
            </w:r>
          </w:p>
        </w:tc>
        <w:tc>
          <w:tcPr>
            <w:tcW w:w="1269" w:type="pct"/>
            <w:gridSpan w:val="2"/>
            <w:tcBorders>
              <w:top w:val="single" w:color="auto" w:sz="4" w:space="0"/>
              <w:left w:val="single" w:color="auto" w:sz="4" w:space="0"/>
              <w:bottom w:val="single" w:color="auto" w:sz="4" w:space="0"/>
              <w:right w:val="single" w:color="auto" w:sz="4" w:space="0"/>
            </w:tcBorders>
            <w:noWrap w:val="0"/>
            <w:vAlign w:val="center"/>
          </w:tcPr>
          <w:p w14:paraId="7AFCC90D">
            <w:pPr>
              <w:spacing w:after="60" w:line="360" w:lineRule="auto"/>
              <w:jc w:val="center"/>
              <w:rPr>
                <w:rFonts w:hint="eastAsia" w:ascii="宋体" w:hAnsi="宋体"/>
                <w:snapToGrid w:val="0"/>
                <w:kern w:val="0"/>
                <w:sz w:val="24"/>
                <w:szCs w:val="28"/>
              </w:rPr>
            </w:pPr>
            <w:r>
              <w:rPr>
                <w:rFonts w:hint="eastAsia" w:ascii="宋体" w:hAnsi="宋体"/>
                <w:snapToGrid w:val="0"/>
                <w:kern w:val="0"/>
                <w:sz w:val="24"/>
                <w:szCs w:val="28"/>
              </w:rPr>
              <w:t>候选中标供应商数量</w:t>
            </w:r>
          </w:p>
        </w:tc>
        <w:tc>
          <w:tcPr>
            <w:tcW w:w="3342" w:type="pct"/>
            <w:tcBorders>
              <w:top w:val="single" w:color="auto" w:sz="4" w:space="0"/>
              <w:left w:val="single" w:color="auto" w:sz="4" w:space="0"/>
              <w:bottom w:val="single" w:color="auto" w:sz="4" w:space="0"/>
              <w:right w:val="single" w:color="auto" w:sz="4" w:space="0"/>
            </w:tcBorders>
            <w:noWrap w:val="0"/>
            <w:vAlign w:val="center"/>
          </w:tcPr>
          <w:p w14:paraId="45519932">
            <w:pPr>
              <w:spacing w:after="60" w:line="360" w:lineRule="auto"/>
              <w:rPr>
                <w:rFonts w:hint="eastAsia" w:ascii="宋体" w:hAnsi="宋体"/>
                <w:snapToGrid w:val="0"/>
                <w:kern w:val="0"/>
                <w:sz w:val="24"/>
                <w:szCs w:val="28"/>
                <w:lang w:val="zh-CN"/>
              </w:rPr>
            </w:pPr>
            <w:r>
              <w:rPr>
                <w:rFonts w:hint="eastAsia" w:ascii="宋体" w:hAnsi="宋体"/>
                <w:snapToGrid w:val="0"/>
                <w:kern w:val="0"/>
                <w:sz w:val="24"/>
                <w:szCs w:val="28"/>
              </w:rPr>
              <w:t xml:space="preserve">  评审得分由高到低排序前</w:t>
            </w:r>
            <w:r>
              <w:rPr>
                <w:rFonts w:hint="eastAsia" w:ascii="宋体" w:hAnsi="宋体"/>
                <w:snapToGrid w:val="0"/>
                <w:kern w:val="0"/>
                <w:sz w:val="24"/>
                <w:szCs w:val="28"/>
                <w:u w:val="single"/>
              </w:rPr>
              <w:t xml:space="preserve">  3 </w:t>
            </w:r>
            <w:r>
              <w:rPr>
                <w:rFonts w:hint="eastAsia" w:ascii="宋体" w:hAnsi="宋体"/>
                <w:snapToGrid w:val="0"/>
                <w:kern w:val="0"/>
                <w:sz w:val="24"/>
                <w:szCs w:val="28"/>
              </w:rPr>
              <w:t>家</w:t>
            </w:r>
          </w:p>
        </w:tc>
      </w:tr>
      <w:tr w14:paraId="6625EC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7" w:hRule="atLeast"/>
        </w:trPr>
        <w:tc>
          <w:tcPr>
            <w:tcW w:w="5000" w:type="pct"/>
            <w:gridSpan w:val="4"/>
            <w:tcBorders>
              <w:top w:val="single" w:color="auto" w:sz="4" w:space="0"/>
              <w:left w:val="single" w:color="auto" w:sz="4" w:space="0"/>
              <w:bottom w:val="single" w:color="auto" w:sz="4" w:space="0"/>
              <w:right w:val="single" w:color="auto" w:sz="4" w:space="0"/>
            </w:tcBorders>
            <w:noWrap w:val="0"/>
            <w:vAlign w:val="center"/>
          </w:tcPr>
          <w:p w14:paraId="598C540A">
            <w:pPr>
              <w:spacing w:after="60" w:line="360" w:lineRule="auto"/>
              <w:jc w:val="center"/>
              <w:rPr>
                <w:rFonts w:hint="eastAsia" w:ascii="宋体" w:hAnsi="宋体"/>
                <w:snapToGrid w:val="0"/>
                <w:kern w:val="0"/>
                <w:sz w:val="24"/>
                <w:szCs w:val="28"/>
              </w:rPr>
            </w:pPr>
            <w:r>
              <w:rPr>
                <w:rFonts w:hint="eastAsia" w:ascii="宋体" w:hAnsi="宋体"/>
                <w:b/>
                <w:bCs/>
                <w:snapToGrid w:val="0"/>
                <w:kern w:val="0"/>
                <w:sz w:val="24"/>
                <w:szCs w:val="28"/>
              </w:rPr>
              <w:t>7.授予合同</w:t>
            </w:r>
          </w:p>
        </w:tc>
      </w:tr>
      <w:tr w14:paraId="330C45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6" w:hRule="atLeast"/>
        </w:trPr>
        <w:tc>
          <w:tcPr>
            <w:tcW w:w="387" w:type="pct"/>
            <w:tcBorders>
              <w:top w:val="single" w:color="auto" w:sz="4" w:space="0"/>
              <w:left w:val="single" w:color="auto" w:sz="4" w:space="0"/>
              <w:bottom w:val="single" w:color="auto" w:sz="4" w:space="0"/>
              <w:right w:val="single" w:color="auto" w:sz="4" w:space="0"/>
            </w:tcBorders>
            <w:noWrap w:val="0"/>
            <w:vAlign w:val="center"/>
          </w:tcPr>
          <w:p w14:paraId="3A2436FB">
            <w:pPr>
              <w:spacing w:after="60" w:line="360" w:lineRule="auto"/>
              <w:jc w:val="center"/>
              <w:rPr>
                <w:rFonts w:hint="default" w:ascii="宋体" w:hAnsi="宋体" w:eastAsia="宋体"/>
                <w:snapToGrid w:val="0"/>
                <w:kern w:val="0"/>
                <w:sz w:val="24"/>
                <w:szCs w:val="28"/>
                <w:lang w:val="en-US" w:eastAsia="zh-CN"/>
              </w:rPr>
            </w:pPr>
            <w:r>
              <w:rPr>
                <w:rFonts w:hint="eastAsia" w:ascii="宋体" w:hAnsi="宋体"/>
                <w:snapToGrid w:val="0"/>
                <w:kern w:val="0"/>
                <w:sz w:val="24"/>
                <w:szCs w:val="28"/>
                <w:lang w:val="en-US" w:eastAsia="zh-CN"/>
              </w:rPr>
              <w:t>30</w:t>
            </w:r>
          </w:p>
        </w:tc>
        <w:tc>
          <w:tcPr>
            <w:tcW w:w="1184" w:type="pct"/>
            <w:tcBorders>
              <w:top w:val="single" w:color="auto" w:sz="4" w:space="0"/>
              <w:left w:val="single" w:color="auto" w:sz="4" w:space="0"/>
              <w:bottom w:val="single" w:color="auto" w:sz="4" w:space="0"/>
              <w:right w:val="single" w:color="auto" w:sz="4" w:space="0"/>
            </w:tcBorders>
            <w:noWrap w:val="0"/>
            <w:vAlign w:val="center"/>
          </w:tcPr>
          <w:p w14:paraId="0ACD974D">
            <w:pPr>
              <w:spacing w:after="60" w:line="360" w:lineRule="auto"/>
              <w:jc w:val="center"/>
              <w:rPr>
                <w:rFonts w:hint="eastAsia" w:ascii="宋体" w:hAnsi="宋体"/>
                <w:snapToGrid w:val="0"/>
                <w:kern w:val="0"/>
                <w:sz w:val="24"/>
                <w:szCs w:val="28"/>
              </w:rPr>
            </w:pPr>
            <w:r>
              <w:rPr>
                <w:rFonts w:hint="eastAsia" w:ascii="宋体" w:hAnsi="宋体"/>
                <w:snapToGrid w:val="0"/>
                <w:kern w:val="0"/>
                <w:sz w:val="24"/>
                <w:szCs w:val="28"/>
              </w:rPr>
              <w:t>签署合同</w:t>
            </w:r>
          </w:p>
        </w:tc>
        <w:tc>
          <w:tcPr>
            <w:tcW w:w="3427" w:type="pct"/>
            <w:gridSpan w:val="2"/>
            <w:tcBorders>
              <w:top w:val="single" w:color="auto" w:sz="4" w:space="0"/>
              <w:left w:val="single" w:color="auto" w:sz="4" w:space="0"/>
              <w:bottom w:val="single" w:color="auto" w:sz="4" w:space="0"/>
              <w:right w:val="single" w:color="auto" w:sz="4" w:space="0"/>
            </w:tcBorders>
            <w:noWrap w:val="0"/>
            <w:vAlign w:val="center"/>
          </w:tcPr>
          <w:p w14:paraId="7B8E06C2">
            <w:pPr>
              <w:spacing w:after="60" w:line="360" w:lineRule="auto"/>
              <w:rPr>
                <w:rFonts w:hint="eastAsia" w:ascii="宋体" w:hAnsi="宋体"/>
                <w:snapToGrid w:val="0"/>
                <w:kern w:val="0"/>
                <w:sz w:val="24"/>
                <w:szCs w:val="28"/>
              </w:rPr>
            </w:pPr>
            <w:r>
              <w:rPr>
                <w:rFonts w:hint="eastAsia" w:ascii="宋体" w:hAnsi="宋体"/>
                <w:snapToGrid w:val="0"/>
                <w:kern w:val="0"/>
                <w:sz w:val="24"/>
                <w:szCs w:val="28"/>
                <w:lang w:val="zh-CN"/>
              </w:rPr>
              <w:t>中标人应在中标通知书发出之日起10个工作日内，与采购人联系签署采购合同。采购合同的实质性内容应当符合采购文件的规定。</w:t>
            </w:r>
          </w:p>
        </w:tc>
      </w:tr>
    </w:tbl>
    <w:p w14:paraId="10B2D3E5">
      <w:pPr>
        <w:rPr>
          <w:rFonts w:hint="default" w:ascii="Times New Roman" w:hAnsi="Times New Roman" w:eastAsia="宋体" w:cs="Times New Roman"/>
          <w:b/>
          <w:bCs/>
          <w:kern w:val="2"/>
          <w:sz w:val="32"/>
          <w:szCs w:val="22"/>
          <w:highlight w:val="none"/>
        </w:rPr>
      </w:pPr>
      <w:r>
        <w:rPr>
          <w:rFonts w:hint="default" w:ascii="Times New Roman" w:hAnsi="Times New Roman" w:eastAsia="宋体" w:cs="Times New Roman"/>
          <w:b/>
          <w:bCs/>
          <w:kern w:val="2"/>
          <w:sz w:val="32"/>
          <w:szCs w:val="22"/>
          <w:highlight w:val="none"/>
        </w:rPr>
        <w:br w:type="page"/>
      </w:r>
    </w:p>
    <w:p w14:paraId="67C9502F">
      <w:pPr>
        <w:pStyle w:val="4"/>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bCs/>
          <w:kern w:val="2"/>
          <w:sz w:val="32"/>
          <w:szCs w:val="22"/>
          <w:highlight w:val="none"/>
        </w:rPr>
      </w:pPr>
      <w:r>
        <w:rPr>
          <w:rFonts w:hint="default" w:ascii="Times New Roman" w:hAnsi="Times New Roman" w:eastAsia="宋体" w:cs="Times New Roman"/>
          <w:b/>
          <w:bCs/>
          <w:kern w:val="2"/>
          <w:sz w:val="32"/>
          <w:szCs w:val="22"/>
          <w:highlight w:val="none"/>
        </w:rPr>
        <w:t>第</w:t>
      </w:r>
      <w:r>
        <w:rPr>
          <w:rFonts w:hint="eastAsia" w:cs="Times New Roman"/>
          <w:b/>
          <w:bCs/>
          <w:kern w:val="2"/>
          <w:sz w:val="32"/>
          <w:szCs w:val="22"/>
          <w:highlight w:val="none"/>
          <w:lang w:val="en-US" w:eastAsia="zh-CN"/>
        </w:rPr>
        <w:t>五</w:t>
      </w:r>
      <w:r>
        <w:rPr>
          <w:rFonts w:hint="default" w:ascii="Times New Roman" w:hAnsi="Times New Roman" w:eastAsia="宋体" w:cs="Times New Roman"/>
          <w:b/>
          <w:bCs/>
          <w:kern w:val="2"/>
          <w:sz w:val="32"/>
          <w:szCs w:val="22"/>
          <w:highlight w:val="none"/>
        </w:rPr>
        <w:t>章  投标文件组成要求及格式</w:t>
      </w:r>
    </w:p>
    <w:p w14:paraId="2967B587">
      <w:pPr>
        <w:keepNext w:val="0"/>
        <w:keepLines w:val="0"/>
        <w:pageBreakBefore w:val="0"/>
        <w:kinsoku/>
        <w:wordWrap/>
        <w:overflowPunct/>
        <w:topLinePunct w:val="0"/>
        <w:autoSpaceDE/>
        <w:autoSpaceDN/>
        <w:bidi w:val="0"/>
        <w:adjustRightInd/>
        <w:snapToGrid/>
        <w:spacing w:line="360" w:lineRule="auto"/>
        <w:ind w:left="0" w:firstLine="0" w:firstLineChars="0"/>
        <w:jc w:val="left"/>
        <w:textAlignment w:val="auto"/>
        <w:rPr>
          <w:rStyle w:val="61"/>
          <w:rFonts w:hint="default" w:ascii="Times New Roman" w:hAnsi="Times New Roman" w:eastAsia="宋体" w:cs="Times New Roman"/>
          <w:sz w:val="24"/>
          <w:highlight w:val="none"/>
        </w:rPr>
      </w:pPr>
      <w:r>
        <w:rPr>
          <w:rStyle w:val="61"/>
          <w:rFonts w:hint="default" w:ascii="Times New Roman" w:hAnsi="Times New Roman" w:eastAsia="宋体" w:cs="Times New Roman"/>
          <w:sz w:val="24"/>
          <w:highlight w:val="none"/>
        </w:rPr>
        <w:t>特别提醒：</w:t>
      </w:r>
    </w:p>
    <w:p w14:paraId="7112F7FE">
      <w:pPr>
        <w:pageBreakBefore w:val="0"/>
        <w:kinsoku/>
        <w:overflowPunct/>
        <w:topLinePunct w:val="0"/>
        <w:autoSpaceDE/>
        <w:autoSpaceDN/>
        <w:bidi w:val="0"/>
        <w:spacing w:beforeAutospacing="0" w:afterAutospacing="0" w:line="360" w:lineRule="auto"/>
        <w:ind w:left="0" w:leftChars="0" w:right="0" w:firstLine="0" w:firstLineChars="0"/>
        <w:outlineLvl w:val="2"/>
        <w:rPr>
          <w:rStyle w:val="61"/>
          <w:rFonts w:hint="default" w:ascii="Times New Roman" w:hAnsi="Times New Roman" w:eastAsia="宋体" w:cs="Times New Roman"/>
          <w:sz w:val="28"/>
          <w:szCs w:val="28"/>
          <w:highlight w:val="none"/>
        </w:rPr>
      </w:pPr>
      <w:r>
        <w:rPr>
          <w:rStyle w:val="61"/>
          <w:rFonts w:hint="default" w:ascii="Times New Roman" w:hAnsi="Times New Roman" w:eastAsia="宋体" w:cs="Times New Roman"/>
          <w:sz w:val="28"/>
          <w:szCs w:val="28"/>
          <w:highlight w:val="none"/>
        </w:rPr>
        <w:t>投标文件组成：</w:t>
      </w:r>
    </w:p>
    <w:p w14:paraId="0B07B5A9">
      <w:pPr>
        <w:pageBreakBefore w:val="0"/>
        <w:kinsoku/>
        <w:overflowPunct/>
        <w:topLinePunct w:val="0"/>
        <w:autoSpaceDE/>
        <w:autoSpaceDN/>
        <w:bidi w:val="0"/>
        <w:spacing w:beforeAutospacing="0" w:afterAutospacing="0" w:line="360" w:lineRule="auto"/>
        <w:ind w:left="0" w:leftChars="0" w:right="0" w:firstLine="0" w:firstLineChars="0"/>
        <w:outlineLvl w:val="2"/>
        <w:rPr>
          <w:rFonts w:hint="default" w:ascii="Times New Roman" w:hAnsi="Times New Roman" w:eastAsia="宋体" w:cs="Times New Roman"/>
          <w:b/>
          <w:bCs/>
          <w:sz w:val="22"/>
          <w:szCs w:val="22"/>
          <w:highlight w:val="none"/>
        </w:rPr>
      </w:pPr>
      <w:bookmarkStart w:id="45" w:name="_Hlk72257253"/>
      <w:r>
        <w:rPr>
          <w:rFonts w:hint="default" w:ascii="Times New Roman" w:hAnsi="Times New Roman" w:eastAsia="宋体" w:cs="Times New Roman"/>
          <w:b/>
          <w:bCs/>
          <w:sz w:val="22"/>
          <w:szCs w:val="22"/>
          <w:highlight w:val="none"/>
        </w:rPr>
        <w:t>1.投标文件正文，主要包括以下内容：</w:t>
      </w:r>
    </w:p>
    <w:p w14:paraId="0C4046B4">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（1）</w:t>
      </w:r>
      <w:bookmarkStart w:id="46" w:name="_Hlk72070784"/>
      <w:r>
        <w:rPr>
          <w:rFonts w:hint="default" w:ascii="Times New Roman" w:hAnsi="Times New Roman" w:eastAsia="宋体" w:cs="Times New Roman"/>
          <w:sz w:val="21"/>
          <w:szCs w:val="21"/>
          <w:highlight w:val="none"/>
        </w:rPr>
        <w:t>投标函</w:t>
      </w:r>
      <w:bookmarkEnd w:id="46"/>
    </w:p>
    <w:p w14:paraId="37D703D1">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cs="Times New Roman"/>
          <w:sz w:val="21"/>
          <w:szCs w:val="21"/>
          <w:highlight w:val="none"/>
          <w:lang w:eastAsia="zh-CN"/>
        </w:rPr>
      </w:pPr>
      <w:r>
        <w:rPr>
          <w:rFonts w:hint="default" w:ascii="Times New Roman" w:hAnsi="Times New Roman" w:eastAsia="宋体" w:cs="Times New Roman"/>
          <w:sz w:val="21"/>
          <w:szCs w:val="21"/>
          <w:highlight w:val="none"/>
        </w:rPr>
        <w:t>（2）</w:t>
      </w:r>
      <w:r>
        <w:rPr>
          <w:rFonts w:hint="default" w:ascii="Times New Roman" w:hAnsi="Times New Roman" w:cs="Times New Roman"/>
          <w:sz w:val="21"/>
          <w:szCs w:val="21"/>
          <w:highlight w:val="none"/>
          <w:lang w:eastAsia="zh-CN"/>
        </w:rPr>
        <w:t>投标及履约承诺函</w:t>
      </w:r>
    </w:p>
    <w:p w14:paraId="57FABD46">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 w:val="21"/>
          <w:szCs w:val="21"/>
          <w:highlight w:val="none"/>
          <w:lang w:eastAsia="zh-CN"/>
        </w:rPr>
      </w:pPr>
      <w:r>
        <w:rPr>
          <w:rFonts w:hint="default" w:ascii="Times New Roman" w:hAnsi="Times New Roman" w:eastAsia="宋体" w:cs="Times New Roman"/>
          <w:szCs w:val="21"/>
          <w:highlight w:val="none"/>
        </w:rPr>
        <w:t>（3）</w:t>
      </w:r>
      <w:r>
        <w:rPr>
          <w:rFonts w:hint="default" w:ascii="Times New Roman" w:hAnsi="Times New Roman" w:eastAsia="宋体" w:cs="Times New Roman"/>
          <w:szCs w:val="21"/>
          <w:highlight w:val="none"/>
          <w:lang w:val="en-US"/>
        </w:rPr>
        <w:t>政府采购违法行为风险知悉确认书</w:t>
      </w:r>
    </w:p>
    <w:p w14:paraId="03529E37">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 w:val="21"/>
          <w:szCs w:val="21"/>
          <w:highlight w:val="none"/>
          <w:lang w:eastAsia="zh-CN"/>
        </w:rPr>
      </w:pPr>
      <w:r>
        <w:rPr>
          <w:rFonts w:hint="default" w:ascii="Times New Roman" w:hAnsi="Times New Roman" w:eastAsia="宋体" w:cs="Times New Roman"/>
          <w:sz w:val="21"/>
          <w:szCs w:val="21"/>
          <w:highlight w:val="none"/>
        </w:rPr>
        <w:t>（</w:t>
      </w:r>
      <w:r>
        <w:rPr>
          <w:rFonts w:hint="default" w:ascii="Times New Roman" w:hAnsi="Times New Roman" w:cs="Times New Roman"/>
          <w:sz w:val="21"/>
          <w:szCs w:val="21"/>
          <w:highlight w:val="none"/>
          <w:lang w:val="en-US" w:eastAsia="zh-CN"/>
        </w:rPr>
        <w:t>4</w:t>
      </w:r>
      <w:r>
        <w:rPr>
          <w:rFonts w:hint="default" w:ascii="Times New Roman" w:hAnsi="Times New Roman" w:eastAsia="宋体" w:cs="Times New Roman"/>
          <w:sz w:val="21"/>
          <w:szCs w:val="21"/>
          <w:highlight w:val="none"/>
        </w:rPr>
        <w:t>）</w:t>
      </w:r>
      <w:r>
        <w:rPr>
          <w:rFonts w:hint="default" w:ascii="Times New Roman" w:hAnsi="Times New Roman" w:cs="Times New Roman"/>
          <w:sz w:val="21"/>
          <w:szCs w:val="21"/>
          <w:highlight w:val="none"/>
          <w:lang w:eastAsia="zh-CN"/>
        </w:rPr>
        <w:t>投标人资格证明文件</w:t>
      </w:r>
    </w:p>
    <w:p w14:paraId="5D21AE08">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 w:val="21"/>
          <w:szCs w:val="21"/>
          <w:highlight w:val="none"/>
        </w:rPr>
      </w:pPr>
      <w:bookmarkStart w:id="47" w:name="_Hlk72257201"/>
      <w:r>
        <w:rPr>
          <w:rFonts w:hint="default" w:ascii="Times New Roman" w:hAnsi="Times New Roman" w:eastAsia="宋体" w:cs="Times New Roman"/>
          <w:sz w:val="21"/>
          <w:szCs w:val="21"/>
          <w:highlight w:val="none"/>
        </w:rPr>
        <w:t>（</w:t>
      </w:r>
      <w:r>
        <w:rPr>
          <w:rFonts w:hint="default" w:ascii="Times New Roman" w:hAnsi="Times New Roman" w:cs="Times New Roman"/>
          <w:sz w:val="21"/>
          <w:szCs w:val="21"/>
          <w:highlight w:val="none"/>
          <w:lang w:val="en-US" w:eastAsia="zh-CN"/>
        </w:rPr>
        <w:t>5</w:t>
      </w:r>
      <w:r>
        <w:rPr>
          <w:rFonts w:hint="default" w:ascii="Times New Roman" w:hAnsi="Times New Roman" w:eastAsia="宋体" w:cs="Times New Roman"/>
          <w:sz w:val="21"/>
          <w:szCs w:val="21"/>
          <w:highlight w:val="none"/>
        </w:rPr>
        <w:t>）项目详细报价</w:t>
      </w:r>
      <w:bookmarkEnd w:id="47"/>
    </w:p>
    <w:p w14:paraId="187FAC91">
      <w:pPr>
        <w:pageBreakBefore w:val="0"/>
        <w:kinsoku/>
        <w:overflowPunct/>
        <w:topLinePunct w:val="0"/>
        <w:autoSpaceDE/>
        <w:autoSpaceDN/>
        <w:bidi w:val="0"/>
        <w:spacing w:beforeAutospacing="0" w:afterAutospacing="0" w:line="360" w:lineRule="auto"/>
        <w:ind w:left="0" w:leftChars="0" w:right="0" w:firstLine="0" w:firstLineChars="0"/>
        <w:outlineLvl w:val="2"/>
        <w:rPr>
          <w:rFonts w:hint="default" w:ascii="Times New Roman" w:hAnsi="Times New Roman" w:eastAsia="宋体" w:cs="Times New Roman"/>
          <w:b/>
          <w:bCs/>
          <w:sz w:val="22"/>
          <w:szCs w:val="22"/>
          <w:highlight w:val="none"/>
        </w:rPr>
      </w:pPr>
      <w:r>
        <w:rPr>
          <w:rFonts w:hint="default" w:ascii="Times New Roman" w:hAnsi="Times New Roman" w:eastAsia="宋体" w:cs="Times New Roman"/>
          <w:b/>
          <w:bCs/>
          <w:sz w:val="22"/>
          <w:szCs w:val="22"/>
          <w:highlight w:val="none"/>
        </w:rPr>
        <w:t>2.投标文件附件：主要包括以下内容：</w:t>
      </w:r>
    </w:p>
    <w:p w14:paraId="7533D23C">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（1）法定代表人（负责人）证明书</w:t>
      </w:r>
    </w:p>
    <w:p w14:paraId="0BAD2574">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（2）投标文件签署授权委托书</w:t>
      </w:r>
    </w:p>
    <w:p w14:paraId="57FB4543">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cs="Times New Roman"/>
          <w:sz w:val="21"/>
          <w:szCs w:val="21"/>
          <w:highlight w:val="none"/>
          <w:lang w:val="en-US" w:eastAsia="zh-CN"/>
        </w:rPr>
      </w:pPr>
      <w:r>
        <w:rPr>
          <w:rFonts w:hint="default" w:ascii="Times New Roman" w:hAnsi="Times New Roman" w:cs="Times New Roman"/>
          <w:sz w:val="21"/>
          <w:szCs w:val="21"/>
          <w:highlight w:val="none"/>
          <w:lang w:val="en-US" w:eastAsia="zh-CN"/>
        </w:rPr>
        <w:t>（3）供应商基本情况表要求</w:t>
      </w:r>
    </w:p>
    <w:p w14:paraId="38B389B6">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cs="Times New Roman"/>
          <w:sz w:val="21"/>
          <w:szCs w:val="21"/>
          <w:highlight w:val="none"/>
          <w:lang w:val="en-US" w:eastAsia="zh-CN"/>
        </w:rPr>
      </w:pPr>
      <w:r>
        <w:rPr>
          <w:rFonts w:hint="default" w:ascii="Times New Roman" w:hAnsi="Times New Roman" w:cs="Times New Roman"/>
          <w:sz w:val="21"/>
          <w:szCs w:val="21"/>
          <w:highlight w:val="none"/>
          <w:lang w:val="en-US" w:eastAsia="zh-CN"/>
        </w:rPr>
        <w:t>（4）警示情形自查确认表</w:t>
      </w:r>
    </w:p>
    <w:p w14:paraId="5E368989">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 w:val="21"/>
          <w:szCs w:val="21"/>
          <w:highlight w:val="none"/>
        </w:rPr>
      </w:pPr>
      <w:r>
        <w:rPr>
          <w:rFonts w:hint="default" w:ascii="Times New Roman" w:hAnsi="Times New Roman" w:eastAsia="宋体" w:cs="Times New Roman"/>
          <w:szCs w:val="21"/>
          <w:highlight w:val="none"/>
        </w:rPr>
        <w:t>（</w:t>
      </w:r>
      <w:r>
        <w:rPr>
          <w:rFonts w:hint="default" w:ascii="Times New Roman" w:hAnsi="Times New Roman" w:cs="Times New Roman"/>
          <w:szCs w:val="21"/>
          <w:highlight w:val="none"/>
          <w:lang w:val="en-US" w:eastAsia="zh-CN"/>
        </w:rPr>
        <w:t>5</w:t>
      </w:r>
      <w:r>
        <w:rPr>
          <w:rFonts w:hint="default" w:ascii="Times New Roman" w:hAnsi="Times New Roman" w:eastAsia="宋体" w:cs="Times New Roman"/>
          <w:szCs w:val="21"/>
          <w:highlight w:val="none"/>
        </w:rPr>
        <w:t>）</w:t>
      </w:r>
      <w:r>
        <w:rPr>
          <w:rFonts w:hint="default" w:ascii="Times New Roman" w:hAnsi="Times New Roman" w:eastAsia="宋体" w:cs="Times New Roman"/>
          <w:szCs w:val="21"/>
          <w:highlight w:val="none"/>
          <w:lang w:val="en-US"/>
        </w:rPr>
        <w:t>实质性条款响应情况表</w:t>
      </w:r>
    </w:p>
    <w:p w14:paraId="7EC630BD">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w:t>
      </w:r>
      <w:r>
        <w:rPr>
          <w:rFonts w:hint="default" w:ascii="Times New Roman" w:hAnsi="Times New Roman" w:cs="Times New Roman"/>
          <w:sz w:val="21"/>
          <w:szCs w:val="21"/>
          <w:highlight w:val="none"/>
          <w:lang w:val="en-US" w:eastAsia="zh-CN"/>
        </w:rPr>
        <w:t>6</w:t>
      </w:r>
      <w:r>
        <w:rPr>
          <w:rFonts w:hint="default" w:ascii="Times New Roman" w:hAnsi="Times New Roman" w:eastAsia="宋体" w:cs="Times New Roman"/>
          <w:sz w:val="21"/>
          <w:szCs w:val="21"/>
          <w:highlight w:val="none"/>
        </w:rPr>
        <w:t>）技术</w:t>
      </w:r>
      <w:r>
        <w:rPr>
          <w:rFonts w:hint="default" w:ascii="Times New Roman" w:hAnsi="Times New Roman" w:eastAsia="宋体" w:cs="Times New Roman"/>
          <w:kern w:val="0"/>
          <w:sz w:val="21"/>
          <w:szCs w:val="21"/>
          <w:highlight w:val="none"/>
        </w:rPr>
        <w:t>规格</w:t>
      </w:r>
      <w:r>
        <w:rPr>
          <w:rFonts w:hint="default" w:ascii="Times New Roman" w:hAnsi="Times New Roman" w:eastAsia="宋体" w:cs="Times New Roman"/>
          <w:sz w:val="21"/>
          <w:szCs w:val="21"/>
          <w:highlight w:val="none"/>
        </w:rPr>
        <w:t>偏离表</w:t>
      </w:r>
    </w:p>
    <w:p w14:paraId="2FE2BF7E">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w:t>
      </w:r>
      <w:r>
        <w:rPr>
          <w:rFonts w:hint="default" w:ascii="Times New Roman" w:hAnsi="Times New Roman" w:cs="Times New Roman"/>
          <w:sz w:val="21"/>
          <w:szCs w:val="21"/>
          <w:highlight w:val="none"/>
          <w:lang w:val="en-US" w:eastAsia="zh-CN"/>
        </w:rPr>
        <w:t>7</w:t>
      </w:r>
      <w:r>
        <w:rPr>
          <w:rFonts w:hint="default" w:ascii="Times New Roman" w:hAnsi="Times New Roman" w:eastAsia="宋体" w:cs="Times New Roman"/>
          <w:sz w:val="21"/>
          <w:szCs w:val="21"/>
          <w:highlight w:val="none"/>
        </w:rPr>
        <w:t>）商务</w:t>
      </w:r>
      <w:r>
        <w:rPr>
          <w:rFonts w:hint="default" w:ascii="Times New Roman" w:hAnsi="Times New Roman" w:cs="Times New Roman"/>
          <w:sz w:val="21"/>
          <w:szCs w:val="21"/>
          <w:highlight w:val="none"/>
          <w:lang w:val="en-US" w:eastAsia="zh-CN"/>
        </w:rPr>
        <w:t>要求</w:t>
      </w:r>
      <w:r>
        <w:rPr>
          <w:rFonts w:hint="default" w:ascii="Times New Roman" w:hAnsi="Times New Roman" w:eastAsia="宋体" w:cs="Times New Roman"/>
          <w:sz w:val="21"/>
          <w:szCs w:val="21"/>
          <w:highlight w:val="none"/>
        </w:rPr>
        <w:t>偏离表</w:t>
      </w:r>
    </w:p>
    <w:p w14:paraId="200A5162">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w:t>
      </w:r>
      <w:r>
        <w:rPr>
          <w:rFonts w:hint="default" w:ascii="Times New Roman" w:hAnsi="Times New Roman" w:cs="Times New Roman"/>
          <w:sz w:val="21"/>
          <w:szCs w:val="21"/>
          <w:highlight w:val="none"/>
          <w:lang w:val="en-US" w:eastAsia="zh-CN"/>
        </w:rPr>
        <w:t>8</w:t>
      </w:r>
      <w:r>
        <w:rPr>
          <w:rFonts w:hint="default" w:ascii="Times New Roman" w:hAnsi="Times New Roman" w:eastAsia="宋体" w:cs="Times New Roman"/>
          <w:sz w:val="21"/>
          <w:szCs w:val="21"/>
          <w:highlight w:val="none"/>
        </w:rPr>
        <w:t>）技术保障措施</w:t>
      </w:r>
    </w:p>
    <w:p w14:paraId="606A9431">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 w:val="21"/>
          <w:szCs w:val="21"/>
          <w:highlight w:val="none"/>
          <w:lang w:val="en-US" w:eastAsia="zh-CN"/>
        </w:rPr>
      </w:pPr>
      <w:r>
        <w:rPr>
          <w:rFonts w:hint="default" w:ascii="Times New Roman" w:hAnsi="Times New Roman" w:eastAsia="宋体" w:cs="Times New Roman"/>
          <w:sz w:val="21"/>
          <w:szCs w:val="21"/>
          <w:highlight w:val="none"/>
          <w:lang w:val="en-US" w:eastAsia="zh-CN"/>
        </w:rPr>
        <w:t>（</w:t>
      </w:r>
      <w:r>
        <w:rPr>
          <w:rFonts w:hint="eastAsia" w:cs="Times New Roman"/>
          <w:sz w:val="21"/>
          <w:szCs w:val="21"/>
          <w:highlight w:val="none"/>
          <w:lang w:val="en-US" w:eastAsia="zh-CN"/>
        </w:rPr>
        <w:t>9</w:t>
      </w:r>
      <w:r>
        <w:rPr>
          <w:rFonts w:hint="default" w:ascii="Times New Roman" w:hAnsi="Times New Roman" w:eastAsia="宋体" w:cs="Times New Roman"/>
          <w:sz w:val="21"/>
          <w:szCs w:val="21"/>
          <w:highlight w:val="none"/>
          <w:lang w:val="en-US" w:eastAsia="zh-CN"/>
        </w:rPr>
        <w:t>）认证情况</w:t>
      </w:r>
    </w:p>
    <w:p w14:paraId="083DD3A3">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 w:val="21"/>
          <w:szCs w:val="21"/>
          <w:highlight w:val="none"/>
          <w:lang w:val="en-US" w:eastAsia="zh-CN"/>
        </w:rPr>
      </w:pPr>
      <w:r>
        <w:rPr>
          <w:rFonts w:hint="default" w:ascii="Times New Roman" w:hAnsi="Times New Roman" w:eastAsia="宋体" w:cs="Times New Roman"/>
          <w:sz w:val="21"/>
          <w:szCs w:val="21"/>
          <w:highlight w:val="none"/>
          <w:lang w:val="en-US" w:eastAsia="zh-CN"/>
        </w:rPr>
        <w:t>（1</w:t>
      </w:r>
      <w:r>
        <w:rPr>
          <w:rFonts w:hint="eastAsia" w:cs="Times New Roman"/>
          <w:sz w:val="21"/>
          <w:szCs w:val="21"/>
          <w:highlight w:val="none"/>
          <w:lang w:val="en-US" w:eastAsia="zh-CN"/>
        </w:rPr>
        <w:t>0</w:t>
      </w:r>
      <w:r>
        <w:rPr>
          <w:rFonts w:hint="default" w:ascii="Times New Roman" w:hAnsi="Times New Roman" w:eastAsia="宋体" w:cs="Times New Roman"/>
          <w:sz w:val="21"/>
          <w:szCs w:val="21"/>
          <w:highlight w:val="none"/>
          <w:lang w:val="en-US" w:eastAsia="zh-CN"/>
        </w:rPr>
        <w:t>）同类项目业绩</w:t>
      </w:r>
    </w:p>
    <w:p w14:paraId="46E64AC4">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cs="Times New Roman" w:eastAsiaTheme="minorEastAsia"/>
          <w:b w:val="0"/>
          <w:bCs w:val="0"/>
          <w:sz w:val="21"/>
          <w:szCs w:val="21"/>
          <w:highlight w:val="none"/>
        </w:rPr>
      </w:pPr>
      <w:r>
        <w:rPr>
          <w:rFonts w:hint="default" w:ascii="Times New Roman" w:hAnsi="Times New Roman" w:eastAsia="宋体" w:cs="Times New Roman"/>
          <w:sz w:val="21"/>
          <w:szCs w:val="21"/>
          <w:highlight w:val="none"/>
          <w:lang w:val="en-US" w:eastAsia="zh-CN"/>
        </w:rPr>
        <w:t>（1</w:t>
      </w:r>
      <w:r>
        <w:rPr>
          <w:rFonts w:hint="eastAsia" w:cs="Times New Roman"/>
          <w:sz w:val="21"/>
          <w:szCs w:val="21"/>
          <w:highlight w:val="none"/>
          <w:lang w:val="en-US" w:eastAsia="zh-CN"/>
        </w:rPr>
        <w:t>1</w:t>
      </w:r>
      <w:r>
        <w:rPr>
          <w:rFonts w:hint="default" w:ascii="Times New Roman" w:hAnsi="Times New Roman" w:eastAsia="宋体" w:cs="Times New Roman"/>
          <w:sz w:val="21"/>
          <w:szCs w:val="21"/>
          <w:highlight w:val="none"/>
          <w:lang w:val="en-US" w:eastAsia="zh-CN"/>
        </w:rPr>
        <w:t>）投标人认为需</w:t>
      </w:r>
      <w:r>
        <w:rPr>
          <w:rFonts w:hint="default" w:ascii="Times New Roman" w:hAnsi="Times New Roman" w:cs="Times New Roman" w:eastAsiaTheme="minorEastAsia"/>
          <w:b w:val="0"/>
          <w:bCs w:val="0"/>
          <w:sz w:val="21"/>
          <w:szCs w:val="21"/>
          <w:highlight w:val="none"/>
        </w:rPr>
        <w:t>要加以说明的其他内容</w:t>
      </w:r>
    </w:p>
    <w:bookmarkEnd w:id="45"/>
    <w:p w14:paraId="78161755">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Cs w:val="21"/>
          <w:highlight w:val="none"/>
        </w:rPr>
      </w:pPr>
    </w:p>
    <w:p w14:paraId="5870BF3E">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color w:val="FF0000"/>
          <w:sz w:val="24"/>
          <w:highlight w:val="none"/>
        </w:rPr>
      </w:pPr>
    </w:p>
    <w:p w14:paraId="766CBAC0">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color w:val="FF0000"/>
          <w:sz w:val="24"/>
          <w:highlight w:val="none"/>
        </w:rPr>
      </w:pPr>
    </w:p>
    <w:p w14:paraId="7F3B2DB3">
      <w:pPr>
        <w:pageBreakBefore w:val="0"/>
        <w:kinsoku/>
        <w:overflowPunct/>
        <w:topLinePunct w:val="0"/>
        <w:autoSpaceDE/>
        <w:autoSpaceDN/>
        <w:bidi w:val="0"/>
        <w:spacing w:line="360" w:lineRule="auto"/>
        <w:ind w:left="0" w:firstLine="0" w:firstLineChars="0"/>
        <w:rPr>
          <w:rFonts w:hint="default" w:ascii="Times New Roman" w:hAnsi="Times New Roman" w:eastAsia="宋体" w:cs="Times New Roman"/>
          <w:b/>
          <w:color w:val="FF0000"/>
          <w:sz w:val="28"/>
          <w:szCs w:val="28"/>
          <w:highlight w:val="none"/>
        </w:rPr>
      </w:pPr>
      <w:r>
        <w:rPr>
          <w:rFonts w:hint="default" w:ascii="Times New Roman" w:hAnsi="Times New Roman" w:eastAsia="宋体" w:cs="Times New Roman"/>
          <w:b/>
          <w:color w:val="FF0000"/>
          <w:sz w:val="28"/>
          <w:szCs w:val="28"/>
          <w:highlight w:val="none"/>
        </w:rPr>
        <w:br w:type="page"/>
      </w:r>
    </w:p>
    <w:p w14:paraId="054C2E6D">
      <w:pPr>
        <w:pageBreakBefore w:val="0"/>
        <w:kinsoku/>
        <w:overflowPunct/>
        <w:topLinePunct w:val="0"/>
        <w:autoSpaceDE/>
        <w:autoSpaceDN/>
        <w:bidi w:val="0"/>
        <w:spacing w:beforeAutospacing="0" w:afterAutospacing="0" w:line="360" w:lineRule="auto"/>
        <w:ind w:left="0" w:leftChars="0" w:right="0" w:firstLine="0" w:firstLineChars="0"/>
        <w:outlineLvl w:val="1"/>
        <w:rPr>
          <w:rFonts w:hint="default" w:ascii="Times New Roman" w:hAnsi="Times New Roman" w:eastAsia="宋体" w:cs="Times New Roman"/>
          <w:b/>
          <w:color w:val="FF0000"/>
          <w:sz w:val="28"/>
          <w:szCs w:val="28"/>
          <w:highlight w:val="none"/>
        </w:rPr>
      </w:pPr>
      <w:r>
        <w:rPr>
          <w:rFonts w:hint="default" w:ascii="Times New Roman" w:hAnsi="Times New Roman" w:eastAsia="宋体" w:cs="Times New Roman"/>
          <w:b/>
          <w:color w:val="FF0000"/>
          <w:sz w:val="28"/>
          <w:szCs w:val="28"/>
          <w:highlight w:val="none"/>
        </w:rPr>
        <w:t>投标文件正文</w:t>
      </w:r>
    </w:p>
    <w:p w14:paraId="6632490B">
      <w:pPr>
        <w:pStyle w:val="5"/>
        <w:pageBreakBefore w:val="0"/>
        <w:kinsoku/>
        <w:overflowPunct/>
        <w:topLinePunct w:val="0"/>
        <w:autoSpaceDE/>
        <w:autoSpaceDN/>
        <w:bidi w:val="0"/>
        <w:spacing w:before="0" w:beforeAutospacing="0" w:after="0" w:afterAutospacing="0" w:line="360" w:lineRule="auto"/>
        <w:ind w:left="0" w:leftChars="0" w:right="0" w:firstLine="0" w:firstLineChars="0"/>
        <w:jc w:val="center"/>
        <w:rPr>
          <w:rFonts w:hint="default" w:ascii="Times New Roman" w:hAnsi="Times New Roman" w:eastAsia="宋体" w:cs="Times New Roman"/>
          <w:b/>
          <w:bCs w:val="0"/>
          <w:sz w:val="32"/>
          <w:szCs w:val="40"/>
          <w:highlight w:val="none"/>
        </w:rPr>
      </w:pPr>
      <w:r>
        <w:rPr>
          <w:rFonts w:hint="default" w:ascii="Times New Roman" w:hAnsi="Times New Roman" w:eastAsia="宋体" w:cs="Times New Roman"/>
          <w:b/>
          <w:bCs w:val="0"/>
          <w:sz w:val="32"/>
          <w:szCs w:val="40"/>
          <w:highlight w:val="none"/>
        </w:rPr>
        <w:t>一、投标函</w:t>
      </w:r>
    </w:p>
    <w:p w14:paraId="0055EB29">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Cs w:val="21"/>
          <w:highlight w:val="none"/>
        </w:rPr>
      </w:pPr>
      <w:bookmarkStart w:id="48" w:name="_Hlk72257506"/>
      <w:r>
        <w:rPr>
          <w:rFonts w:hint="default" w:ascii="Times New Roman" w:hAnsi="Times New Roman" w:eastAsia="宋体" w:cs="Times New Roman"/>
          <w:szCs w:val="21"/>
          <w:highlight w:val="none"/>
        </w:rPr>
        <w:t>致：</w:t>
      </w:r>
      <w:r>
        <w:rPr>
          <w:rFonts w:hint="eastAsia" w:cs="Times New Roman"/>
          <w:color w:val="auto"/>
          <w:szCs w:val="21"/>
          <w:highlight w:val="none"/>
          <w:u w:val="single"/>
          <w:lang w:eastAsia="zh-CN"/>
        </w:rPr>
        <w:t xml:space="preserve"> 深圳信德招标服务有限公司</w:t>
      </w:r>
      <w:r>
        <w:rPr>
          <w:rFonts w:hint="default" w:ascii="Times New Roman" w:hAnsi="Times New Roman" w:eastAsia="宋体" w:cs="Times New Roman"/>
          <w:szCs w:val="21"/>
          <w:highlight w:val="none"/>
          <w:u w:val="single"/>
        </w:rPr>
        <w:t xml:space="preserve">  </w:t>
      </w:r>
    </w:p>
    <w:p w14:paraId="1FCC4AFE">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Cs w:val="21"/>
          <w:highlight w:val="none"/>
        </w:rPr>
      </w:pPr>
      <w:bookmarkStart w:id="49" w:name="_Hlk73818812"/>
      <w:r>
        <w:rPr>
          <w:rFonts w:hint="default" w:ascii="Times New Roman" w:hAnsi="Times New Roman" w:eastAsia="宋体" w:cs="Times New Roman"/>
          <w:szCs w:val="21"/>
          <w:highlight w:val="none"/>
        </w:rPr>
        <w:t>1、根据已收到贵单位的项目编号为</w:t>
      </w:r>
      <w:r>
        <w:rPr>
          <w:rFonts w:hint="default" w:ascii="Times New Roman" w:hAnsi="Times New Roman" w:eastAsia="宋体" w:cs="Times New Roman"/>
          <w:szCs w:val="21"/>
          <w:highlight w:val="none"/>
          <w:u w:val="single"/>
        </w:rPr>
        <w:t xml:space="preserve"> </w:t>
      </w:r>
      <w:r>
        <w:rPr>
          <w:rFonts w:hint="default" w:ascii="Times New Roman" w:hAnsi="Times New Roman" w:cs="Times New Roman"/>
          <w:szCs w:val="21"/>
          <w:highlight w:val="none"/>
          <w:u w:val="single"/>
          <w:lang w:eastAsia="zh-CN"/>
        </w:rPr>
        <w:t>（项目编号）</w:t>
      </w:r>
      <w:r>
        <w:rPr>
          <w:rFonts w:hint="default" w:ascii="Times New Roman" w:hAnsi="Times New Roman" w:eastAsia="宋体" w:cs="Times New Roman"/>
          <w:szCs w:val="21"/>
          <w:highlight w:val="none"/>
          <w:u w:val="single"/>
        </w:rPr>
        <w:t xml:space="preserve"> </w:t>
      </w:r>
      <w:r>
        <w:rPr>
          <w:rFonts w:hint="default" w:ascii="Times New Roman" w:hAnsi="Times New Roman" w:eastAsia="宋体" w:cs="Times New Roman"/>
          <w:szCs w:val="21"/>
          <w:highlight w:val="none"/>
        </w:rPr>
        <w:t>的</w:t>
      </w:r>
      <w:r>
        <w:rPr>
          <w:rFonts w:hint="default" w:ascii="Times New Roman" w:hAnsi="Times New Roman" w:eastAsia="宋体" w:cs="Times New Roman"/>
          <w:szCs w:val="21"/>
          <w:highlight w:val="none"/>
          <w:u w:val="single"/>
        </w:rPr>
        <w:t xml:space="preserve"> </w:t>
      </w:r>
      <w:r>
        <w:rPr>
          <w:rFonts w:hint="default" w:ascii="Times New Roman" w:hAnsi="Times New Roman" w:cs="Times New Roman"/>
          <w:szCs w:val="21"/>
          <w:highlight w:val="none"/>
          <w:u w:val="single"/>
          <w:lang w:eastAsia="zh-CN"/>
        </w:rPr>
        <w:t>（项目名称）</w:t>
      </w:r>
      <w:r>
        <w:rPr>
          <w:rFonts w:hint="default" w:ascii="Times New Roman" w:hAnsi="Times New Roman" w:eastAsia="宋体" w:cs="Times New Roman"/>
          <w:szCs w:val="21"/>
          <w:highlight w:val="none"/>
          <w:u w:val="single"/>
        </w:rPr>
        <w:t xml:space="preserve"> </w:t>
      </w:r>
      <w:r>
        <w:rPr>
          <w:rFonts w:hint="default" w:ascii="Times New Roman" w:hAnsi="Times New Roman" w:eastAsia="宋体" w:cs="Times New Roman"/>
          <w:szCs w:val="21"/>
          <w:highlight w:val="none"/>
        </w:rPr>
        <w:t>项目的招标文件，遵照《深圳经济特区政府采购条例》和《深圳网上政府采购管理暂行办法》等有关规定，我单位经研究上述招标文件的专用条款及通用条款后，</w:t>
      </w:r>
      <w:bookmarkStart w:id="50" w:name="_Hlk72263588"/>
      <w:r>
        <w:rPr>
          <w:rFonts w:hint="default" w:ascii="Times New Roman" w:hAnsi="Times New Roman" w:eastAsia="宋体" w:cs="Times New Roman"/>
          <w:szCs w:val="21"/>
          <w:highlight w:val="none"/>
        </w:rPr>
        <w:t>愿意按照招标文件要求承包上述项目并修补其任何缺陷。</w:t>
      </w:r>
      <w:bookmarkEnd w:id="50"/>
    </w:p>
    <w:p w14:paraId="0E198B1B">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t>2、</w:t>
      </w:r>
      <w:bookmarkStart w:id="51" w:name="_Hlk73819847"/>
      <w:r>
        <w:rPr>
          <w:rFonts w:hint="default" w:ascii="Times New Roman" w:hAnsi="Times New Roman" w:eastAsia="宋体" w:cs="Times New Roman"/>
          <w:szCs w:val="21"/>
          <w:highlight w:val="none"/>
        </w:rPr>
        <w:t>投标价格见投标书编制软件中《开标一览表》中填写的投标总价。</w:t>
      </w:r>
      <w:bookmarkEnd w:id="51"/>
    </w:p>
    <w:p w14:paraId="15BC6633">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t>3、如果我单位中标，我单位将按照招标文件的要求足额提交履约担保。</w:t>
      </w:r>
    </w:p>
    <w:p w14:paraId="4742124A">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t>4、我单位同意所递交的投标文件在“对通用条款的补充内容”中明确的投标有效期内有效，在此期间内我单位的投标有可能中标，我方将受此约束。</w:t>
      </w:r>
    </w:p>
    <w:p w14:paraId="432D3685">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t>5、除非另外达成协议并生效，贵单位的中标通知书和本投标文件将构成合同的重要内容。</w:t>
      </w:r>
    </w:p>
    <w:p w14:paraId="53B1A4A1">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t>6、我单位理解贵单位将不受必须接受所收到的最低报价或其它任何投标文件的约束。</w:t>
      </w:r>
      <w:bookmarkEnd w:id="49"/>
    </w:p>
    <w:p w14:paraId="27A4A1F5">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lang w:val="en-US" w:eastAsia="zh-CN"/>
        </w:rPr>
        <w:t>7、</w:t>
      </w:r>
      <w:r>
        <w:rPr>
          <w:rFonts w:hint="default" w:ascii="Times New Roman" w:hAnsi="Times New Roman" w:eastAsia="宋体" w:cs="Times New Roman"/>
          <w:szCs w:val="21"/>
          <w:highlight w:val="none"/>
          <w:lang w:val="en-US" w:eastAsia="en-US"/>
        </w:rPr>
        <w:t>我方已知晓本次投标报价中已包含招标代理服务费（招标代理服务费将按照招标文件第二章“对通用条款的补充内容”中“招标代理服务费”所列收费标准计算），并承诺向贵单位足额支付。</w:t>
      </w:r>
    </w:p>
    <w:p w14:paraId="7BB6DC7C">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Cs w:val="21"/>
          <w:highlight w:val="none"/>
          <w:u w:val="single"/>
        </w:rPr>
      </w:pPr>
      <w:r>
        <w:rPr>
          <w:rFonts w:hint="default" w:ascii="Times New Roman" w:hAnsi="Times New Roman" w:eastAsia="宋体" w:cs="Times New Roman"/>
          <w:szCs w:val="21"/>
          <w:highlight w:val="none"/>
        </w:rPr>
        <w:t>投标人：</w:t>
      </w:r>
      <w:r>
        <w:rPr>
          <w:rFonts w:hint="default" w:ascii="Times New Roman" w:hAnsi="Times New Roman" w:eastAsia="宋体" w:cs="Times New Roman"/>
          <w:szCs w:val="21"/>
          <w:highlight w:val="none"/>
          <w:u w:val="single"/>
        </w:rPr>
        <w:t xml:space="preserve">                   </w:t>
      </w:r>
      <w:r>
        <w:rPr>
          <w:rFonts w:hint="default" w:ascii="Times New Roman" w:hAnsi="Times New Roman" w:eastAsia="宋体" w:cs="Times New Roman"/>
          <w:szCs w:val="21"/>
          <w:highlight w:val="none"/>
        </w:rPr>
        <w:t xml:space="preserve">    单位地址：</w:t>
      </w:r>
      <w:r>
        <w:rPr>
          <w:rFonts w:hint="default" w:ascii="Times New Roman" w:hAnsi="Times New Roman" w:eastAsia="宋体" w:cs="Times New Roman"/>
          <w:szCs w:val="21"/>
          <w:highlight w:val="none"/>
          <w:u w:val="single"/>
        </w:rPr>
        <w:t xml:space="preserve">               </w:t>
      </w:r>
    </w:p>
    <w:p w14:paraId="78355509">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Cs w:val="21"/>
          <w:highlight w:val="none"/>
          <w:u w:val="single"/>
        </w:rPr>
      </w:pPr>
      <w:r>
        <w:rPr>
          <w:rFonts w:hint="default" w:ascii="Times New Roman" w:hAnsi="Times New Roman" w:eastAsia="宋体" w:cs="Times New Roman"/>
          <w:szCs w:val="21"/>
          <w:highlight w:val="none"/>
        </w:rPr>
        <w:t>法定代表人（负责人）或其委托代理人：</w:t>
      </w:r>
      <w:r>
        <w:rPr>
          <w:rFonts w:hint="default" w:ascii="Times New Roman" w:hAnsi="Times New Roman" w:eastAsia="宋体" w:cs="Times New Roman"/>
          <w:szCs w:val="21"/>
          <w:highlight w:val="none"/>
          <w:u w:val="single"/>
        </w:rPr>
        <w:t xml:space="preserve">                   </w:t>
      </w:r>
    </w:p>
    <w:p w14:paraId="3924ED7E">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t>邮政编码：</w:t>
      </w:r>
      <w:r>
        <w:rPr>
          <w:rFonts w:hint="default" w:ascii="Times New Roman" w:hAnsi="Times New Roman" w:eastAsia="宋体" w:cs="Times New Roman"/>
          <w:szCs w:val="21"/>
          <w:highlight w:val="none"/>
          <w:u w:val="single"/>
        </w:rPr>
        <w:t xml:space="preserve">          </w:t>
      </w:r>
      <w:r>
        <w:rPr>
          <w:rFonts w:hint="default" w:ascii="Times New Roman" w:hAnsi="Times New Roman" w:eastAsia="宋体" w:cs="Times New Roman"/>
          <w:szCs w:val="21"/>
          <w:highlight w:val="none"/>
        </w:rPr>
        <w:t xml:space="preserve">  电话：</w:t>
      </w:r>
      <w:r>
        <w:rPr>
          <w:rFonts w:hint="default" w:ascii="Times New Roman" w:hAnsi="Times New Roman" w:eastAsia="宋体" w:cs="Times New Roman"/>
          <w:szCs w:val="21"/>
          <w:highlight w:val="none"/>
          <w:u w:val="single"/>
        </w:rPr>
        <w:t xml:space="preserve">          </w:t>
      </w:r>
      <w:r>
        <w:rPr>
          <w:rFonts w:hint="default" w:ascii="Times New Roman" w:hAnsi="Times New Roman" w:eastAsia="宋体" w:cs="Times New Roman"/>
          <w:szCs w:val="21"/>
          <w:highlight w:val="none"/>
        </w:rPr>
        <w:t xml:space="preserve">  </w:t>
      </w:r>
    </w:p>
    <w:p w14:paraId="750FBDC2">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Cs w:val="21"/>
          <w:highlight w:val="none"/>
          <w:u w:val="single"/>
        </w:rPr>
      </w:pPr>
      <w:r>
        <w:rPr>
          <w:rFonts w:hint="default" w:ascii="Times New Roman" w:hAnsi="Times New Roman" w:cs="Times New Roman"/>
          <w:szCs w:val="21"/>
          <w:highlight w:val="none"/>
          <w:lang w:val="en-US" w:eastAsia="zh-CN"/>
        </w:rPr>
        <w:t>邮箱：</w:t>
      </w:r>
      <w:r>
        <w:rPr>
          <w:rFonts w:hint="default" w:ascii="Times New Roman" w:hAnsi="Times New Roman" w:eastAsia="宋体" w:cs="Times New Roman"/>
          <w:szCs w:val="21"/>
          <w:highlight w:val="none"/>
          <w:u w:val="single"/>
        </w:rPr>
        <w:t xml:space="preserve">          </w:t>
      </w:r>
      <w:r>
        <w:rPr>
          <w:rFonts w:hint="default" w:ascii="Times New Roman" w:hAnsi="Times New Roman" w:cs="Times New Roman"/>
          <w:szCs w:val="21"/>
          <w:highlight w:val="none"/>
          <w:lang w:val="en-US" w:eastAsia="zh-CN"/>
        </w:rPr>
        <w:t xml:space="preserve">      </w:t>
      </w:r>
      <w:r>
        <w:rPr>
          <w:rFonts w:hint="default" w:ascii="Times New Roman" w:hAnsi="Times New Roman" w:eastAsia="宋体" w:cs="Times New Roman"/>
          <w:szCs w:val="21"/>
          <w:highlight w:val="none"/>
        </w:rPr>
        <w:t>传真：</w:t>
      </w:r>
      <w:r>
        <w:rPr>
          <w:rFonts w:hint="default" w:ascii="Times New Roman" w:hAnsi="Times New Roman" w:eastAsia="宋体" w:cs="Times New Roman"/>
          <w:szCs w:val="21"/>
          <w:highlight w:val="none"/>
          <w:u w:val="single"/>
        </w:rPr>
        <w:t xml:space="preserve">            </w:t>
      </w:r>
    </w:p>
    <w:p w14:paraId="690DB1D6">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t>开户银行名称：</w:t>
      </w:r>
      <w:r>
        <w:rPr>
          <w:rFonts w:hint="default" w:ascii="Times New Roman" w:hAnsi="Times New Roman" w:eastAsia="宋体" w:cs="Times New Roman"/>
          <w:szCs w:val="21"/>
          <w:highlight w:val="none"/>
          <w:u w:val="single"/>
        </w:rPr>
        <w:tab/>
      </w:r>
      <w:r>
        <w:rPr>
          <w:rFonts w:hint="default" w:ascii="Times New Roman" w:hAnsi="Times New Roman" w:eastAsia="宋体" w:cs="Times New Roman"/>
          <w:szCs w:val="21"/>
          <w:highlight w:val="none"/>
          <w:u w:val="single"/>
        </w:rPr>
        <w:tab/>
      </w:r>
      <w:r>
        <w:rPr>
          <w:rFonts w:hint="default" w:ascii="Times New Roman" w:hAnsi="Times New Roman" w:eastAsia="宋体" w:cs="Times New Roman"/>
          <w:szCs w:val="21"/>
          <w:highlight w:val="none"/>
          <w:u w:val="single"/>
        </w:rPr>
        <w:tab/>
      </w:r>
      <w:r>
        <w:rPr>
          <w:rFonts w:hint="default" w:ascii="Times New Roman" w:hAnsi="Times New Roman" w:eastAsia="宋体" w:cs="Times New Roman"/>
          <w:szCs w:val="21"/>
          <w:highlight w:val="none"/>
          <w:u w:val="single"/>
        </w:rPr>
        <w:tab/>
      </w:r>
      <w:r>
        <w:rPr>
          <w:rFonts w:hint="default" w:ascii="Times New Roman" w:hAnsi="Times New Roman" w:eastAsia="宋体" w:cs="Times New Roman"/>
          <w:szCs w:val="21"/>
          <w:highlight w:val="none"/>
        </w:rPr>
        <w:tab/>
      </w:r>
      <w:r>
        <w:rPr>
          <w:rFonts w:hint="default" w:ascii="Times New Roman" w:hAnsi="Times New Roman" w:eastAsia="宋体" w:cs="Times New Roman"/>
          <w:szCs w:val="21"/>
          <w:highlight w:val="none"/>
        </w:rPr>
        <w:t>开户银行账号：</w:t>
      </w:r>
      <w:r>
        <w:rPr>
          <w:rFonts w:hint="default" w:ascii="Times New Roman" w:hAnsi="Times New Roman" w:eastAsia="宋体" w:cs="Times New Roman"/>
          <w:szCs w:val="21"/>
          <w:highlight w:val="none"/>
          <w:u w:val="single"/>
        </w:rPr>
        <w:tab/>
      </w:r>
      <w:r>
        <w:rPr>
          <w:rFonts w:hint="default" w:ascii="Times New Roman" w:hAnsi="Times New Roman" w:eastAsia="宋体" w:cs="Times New Roman"/>
          <w:szCs w:val="21"/>
          <w:highlight w:val="none"/>
          <w:u w:val="single"/>
        </w:rPr>
        <w:tab/>
      </w:r>
      <w:r>
        <w:rPr>
          <w:rFonts w:hint="default" w:ascii="Times New Roman" w:hAnsi="Times New Roman" w:eastAsia="宋体" w:cs="Times New Roman"/>
          <w:szCs w:val="21"/>
          <w:highlight w:val="none"/>
          <w:u w:val="single"/>
        </w:rPr>
        <w:tab/>
      </w:r>
      <w:r>
        <w:rPr>
          <w:rFonts w:hint="default" w:ascii="Times New Roman" w:hAnsi="Times New Roman" w:eastAsia="宋体" w:cs="Times New Roman"/>
          <w:szCs w:val="21"/>
          <w:highlight w:val="none"/>
          <w:u w:val="single"/>
        </w:rPr>
        <w:tab/>
      </w:r>
    </w:p>
    <w:p w14:paraId="5191DFBE">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t>开户银行地址：</w:t>
      </w:r>
      <w:r>
        <w:rPr>
          <w:rFonts w:hint="default" w:ascii="Times New Roman" w:hAnsi="Times New Roman" w:eastAsia="宋体" w:cs="Times New Roman"/>
          <w:szCs w:val="21"/>
          <w:highlight w:val="none"/>
          <w:u w:val="single"/>
        </w:rPr>
        <w:tab/>
      </w:r>
      <w:r>
        <w:rPr>
          <w:rFonts w:hint="default" w:ascii="Times New Roman" w:hAnsi="Times New Roman" w:eastAsia="宋体" w:cs="Times New Roman"/>
          <w:szCs w:val="21"/>
          <w:highlight w:val="none"/>
          <w:u w:val="single"/>
        </w:rPr>
        <w:tab/>
      </w:r>
      <w:r>
        <w:rPr>
          <w:rFonts w:hint="default" w:ascii="Times New Roman" w:hAnsi="Times New Roman" w:eastAsia="宋体" w:cs="Times New Roman"/>
          <w:szCs w:val="21"/>
          <w:highlight w:val="none"/>
          <w:u w:val="single"/>
        </w:rPr>
        <w:tab/>
      </w:r>
      <w:r>
        <w:rPr>
          <w:rFonts w:hint="default" w:ascii="Times New Roman" w:hAnsi="Times New Roman" w:eastAsia="宋体" w:cs="Times New Roman"/>
          <w:szCs w:val="21"/>
          <w:highlight w:val="none"/>
          <w:u w:val="single"/>
        </w:rPr>
        <w:tab/>
      </w:r>
      <w:r>
        <w:rPr>
          <w:rFonts w:hint="default" w:ascii="Times New Roman" w:hAnsi="Times New Roman" w:eastAsia="宋体" w:cs="Times New Roman"/>
          <w:szCs w:val="21"/>
          <w:highlight w:val="none"/>
        </w:rPr>
        <w:tab/>
      </w:r>
      <w:r>
        <w:rPr>
          <w:rFonts w:hint="default" w:ascii="Times New Roman" w:hAnsi="Times New Roman" w:eastAsia="宋体" w:cs="Times New Roman"/>
          <w:szCs w:val="21"/>
          <w:highlight w:val="none"/>
        </w:rPr>
        <w:t>开户银行电话：</w:t>
      </w:r>
      <w:r>
        <w:rPr>
          <w:rFonts w:hint="default" w:ascii="Times New Roman" w:hAnsi="Times New Roman" w:eastAsia="宋体" w:cs="Times New Roman"/>
          <w:szCs w:val="21"/>
          <w:highlight w:val="none"/>
          <w:u w:val="single"/>
        </w:rPr>
        <w:tab/>
      </w:r>
      <w:r>
        <w:rPr>
          <w:rFonts w:hint="default" w:ascii="Times New Roman" w:hAnsi="Times New Roman" w:eastAsia="宋体" w:cs="Times New Roman"/>
          <w:szCs w:val="21"/>
          <w:highlight w:val="none"/>
          <w:u w:val="single"/>
        </w:rPr>
        <w:tab/>
      </w:r>
      <w:r>
        <w:rPr>
          <w:rFonts w:hint="default" w:ascii="Times New Roman" w:hAnsi="Times New Roman" w:eastAsia="宋体" w:cs="Times New Roman"/>
          <w:szCs w:val="21"/>
          <w:highlight w:val="none"/>
          <w:u w:val="single"/>
        </w:rPr>
        <w:tab/>
      </w:r>
      <w:r>
        <w:rPr>
          <w:rFonts w:hint="default" w:ascii="Times New Roman" w:hAnsi="Times New Roman" w:eastAsia="宋体" w:cs="Times New Roman"/>
          <w:szCs w:val="21"/>
          <w:highlight w:val="none"/>
          <w:u w:val="single"/>
        </w:rPr>
        <w:tab/>
      </w:r>
    </w:p>
    <w:p w14:paraId="2CB4228A">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 w:val="24"/>
          <w:highlight w:val="none"/>
        </w:rPr>
      </w:pPr>
      <w:r>
        <w:rPr>
          <w:rFonts w:hint="default" w:ascii="Times New Roman" w:hAnsi="Times New Roman" w:eastAsia="宋体" w:cs="Times New Roman"/>
          <w:szCs w:val="21"/>
          <w:highlight w:val="none"/>
        </w:rPr>
        <w:t>日期：</w:t>
      </w:r>
      <w:r>
        <w:rPr>
          <w:rFonts w:hint="default" w:ascii="Times New Roman" w:hAnsi="Times New Roman" w:eastAsia="宋体" w:cs="Times New Roman"/>
          <w:szCs w:val="21"/>
          <w:highlight w:val="none"/>
          <w:u w:val="single"/>
        </w:rPr>
        <w:t xml:space="preserve">       </w:t>
      </w:r>
      <w:r>
        <w:rPr>
          <w:rFonts w:hint="default" w:ascii="Times New Roman" w:hAnsi="Times New Roman" w:eastAsia="宋体" w:cs="Times New Roman"/>
          <w:szCs w:val="21"/>
          <w:highlight w:val="none"/>
        </w:rPr>
        <w:t>年</w:t>
      </w:r>
      <w:r>
        <w:rPr>
          <w:rFonts w:hint="default" w:ascii="Times New Roman" w:hAnsi="Times New Roman" w:eastAsia="宋体" w:cs="Times New Roman"/>
          <w:szCs w:val="21"/>
          <w:highlight w:val="none"/>
          <w:u w:val="single"/>
        </w:rPr>
        <w:t xml:space="preserve">     </w:t>
      </w:r>
      <w:r>
        <w:rPr>
          <w:rFonts w:hint="default" w:ascii="Times New Roman" w:hAnsi="Times New Roman" w:eastAsia="宋体" w:cs="Times New Roman"/>
          <w:szCs w:val="21"/>
          <w:highlight w:val="none"/>
        </w:rPr>
        <w:t>月</w:t>
      </w:r>
      <w:r>
        <w:rPr>
          <w:rFonts w:hint="default" w:ascii="Times New Roman" w:hAnsi="Times New Roman" w:eastAsia="宋体" w:cs="Times New Roman"/>
          <w:szCs w:val="21"/>
          <w:highlight w:val="none"/>
          <w:u w:val="single"/>
        </w:rPr>
        <w:t xml:space="preserve">    </w:t>
      </w:r>
      <w:r>
        <w:rPr>
          <w:rFonts w:hint="default" w:ascii="Times New Roman" w:hAnsi="Times New Roman" w:eastAsia="宋体" w:cs="Times New Roman"/>
          <w:szCs w:val="21"/>
          <w:highlight w:val="none"/>
        </w:rPr>
        <w:t>日</w:t>
      </w:r>
      <w:r>
        <w:rPr>
          <w:rFonts w:hint="default" w:ascii="Times New Roman" w:hAnsi="Times New Roman" w:eastAsia="宋体" w:cs="Times New Roman"/>
          <w:sz w:val="24"/>
          <w:highlight w:val="none"/>
        </w:rPr>
        <w:t xml:space="preserve">                                </w:t>
      </w:r>
    </w:p>
    <w:p w14:paraId="3940A596">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highlight w:val="none"/>
        </w:rPr>
      </w:pPr>
    </w:p>
    <w:bookmarkEnd w:id="48"/>
    <w:p w14:paraId="4472ECB4">
      <w:pPr>
        <w:rPr>
          <w:rFonts w:hint="default" w:ascii="Times New Roman" w:hAnsi="Times New Roman" w:eastAsia="宋体" w:cs="Times New Roman"/>
          <w:b w:val="0"/>
          <w:sz w:val="24"/>
          <w:highlight w:val="none"/>
        </w:rPr>
      </w:pPr>
      <w:r>
        <w:rPr>
          <w:rFonts w:hint="default" w:ascii="Times New Roman" w:hAnsi="Times New Roman" w:eastAsia="宋体" w:cs="Times New Roman"/>
          <w:b w:val="0"/>
          <w:sz w:val="24"/>
          <w:highlight w:val="none"/>
        </w:rPr>
        <w:br w:type="page"/>
      </w:r>
    </w:p>
    <w:p w14:paraId="5624676E">
      <w:pPr>
        <w:pStyle w:val="5"/>
        <w:pageBreakBefore w:val="0"/>
        <w:kinsoku/>
        <w:overflowPunct/>
        <w:topLinePunct w:val="0"/>
        <w:autoSpaceDE/>
        <w:autoSpaceDN/>
        <w:bidi w:val="0"/>
        <w:spacing w:before="0" w:beforeAutospacing="0" w:after="0" w:afterAutospacing="0" w:line="360" w:lineRule="auto"/>
        <w:ind w:left="0" w:leftChars="0" w:right="0" w:firstLine="0" w:firstLineChars="0"/>
        <w:jc w:val="center"/>
        <w:rPr>
          <w:rFonts w:hint="default" w:ascii="Times New Roman" w:hAnsi="Times New Roman" w:eastAsia="宋体" w:cs="Times New Roman"/>
          <w:b/>
          <w:bCs w:val="0"/>
          <w:sz w:val="32"/>
          <w:szCs w:val="40"/>
          <w:highlight w:val="none"/>
          <w:lang w:eastAsia="zh-CN"/>
        </w:rPr>
      </w:pPr>
      <w:r>
        <w:rPr>
          <w:rFonts w:hint="default" w:ascii="Times New Roman" w:hAnsi="Times New Roman" w:eastAsia="宋体" w:cs="Times New Roman"/>
          <w:b/>
          <w:bCs w:val="0"/>
          <w:sz w:val="32"/>
          <w:szCs w:val="40"/>
          <w:highlight w:val="none"/>
        </w:rPr>
        <w:t>二、</w:t>
      </w:r>
      <w:r>
        <w:rPr>
          <w:rFonts w:hint="default" w:ascii="Times New Roman" w:hAnsi="Times New Roman" w:cs="Times New Roman"/>
          <w:b/>
          <w:bCs w:val="0"/>
          <w:sz w:val="32"/>
          <w:szCs w:val="40"/>
          <w:highlight w:val="none"/>
          <w:lang w:eastAsia="zh-CN"/>
        </w:rPr>
        <w:t>投标及履约承诺函</w:t>
      </w:r>
    </w:p>
    <w:p w14:paraId="440B376A">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cs="Times New Roman"/>
          <w:color w:val="auto"/>
          <w:szCs w:val="21"/>
          <w:highlight w:val="none"/>
          <w:u w:val="single"/>
          <w:lang w:eastAsia="zh-CN"/>
        </w:rPr>
      </w:pPr>
      <w:bookmarkStart w:id="52" w:name="_Hlk72257530"/>
      <w:r>
        <w:rPr>
          <w:rFonts w:hint="default" w:ascii="Times New Roman" w:hAnsi="Times New Roman" w:eastAsia="宋体" w:cs="Times New Roman"/>
          <w:color w:val="auto"/>
          <w:szCs w:val="21"/>
          <w:highlight w:val="none"/>
        </w:rPr>
        <w:t>致：</w:t>
      </w:r>
      <w:r>
        <w:rPr>
          <w:rFonts w:hint="eastAsia" w:cs="Times New Roman"/>
          <w:color w:val="auto"/>
          <w:szCs w:val="21"/>
          <w:highlight w:val="none"/>
          <w:u w:val="single"/>
          <w:lang w:eastAsia="zh-CN"/>
        </w:rPr>
        <w:t xml:space="preserve"> 深圳信德招标服务有限公司</w:t>
      </w:r>
    </w:p>
    <w:p w14:paraId="466C2908">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t>我单位承诺：</w:t>
      </w:r>
    </w:p>
    <w:p w14:paraId="4E28857A">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t>1.我单位本招标项目所提供的货物或服务未侵犯知识产权。</w:t>
      </w:r>
    </w:p>
    <w:p w14:paraId="2CB0AFC1">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t>2.我单位参与本项目投标前三年内，在经营活动中没有重大违法记录。</w:t>
      </w:r>
    </w:p>
    <w:p w14:paraId="1761F5A5">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t>3.我单位参与本项目</w:t>
      </w:r>
      <w:r>
        <w:rPr>
          <w:rFonts w:hint="default" w:ascii="Times New Roman" w:hAnsi="Times New Roman" w:eastAsia="宋体" w:cs="Times New Roman"/>
          <w:highlight w:val="none"/>
        </w:rPr>
        <w:t>政府采购活动时不存在被有关部门禁止参与政府采购活动且在有效期内的情况。</w:t>
      </w:r>
    </w:p>
    <w:p w14:paraId="4785442B">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t>4.我单位具备《中华人民共和国政府采购法》第二十二条第一款规定的六项条件。</w:t>
      </w:r>
    </w:p>
    <w:p w14:paraId="3C8E3E00">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t>5.我单位未被列入失信被执行人、重大税收违法案件当事人名单（税收违法黑名单）、政府采购严重违法失信行为记录名单。</w:t>
      </w:r>
    </w:p>
    <w:p w14:paraId="0742DE2F">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t>6.</w:t>
      </w:r>
      <w:bookmarkStart w:id="53" w:name="_Hlk72587269"/>
      <w:bookmarkStart w:id="54" w:name="_Hlk72587299"/>
      <w:r>
        <w:rPr>
          <w:rFonts w:hint="default" w:ascii="Times New Roman" w:hAnsi="Times New Roman" w:eastAsia="宋体" w:cs="Times New Roman"/>
          <w:szCs w:val="21"/>
          <w:highlight w:val="none"/>
        </w:rPr>
        <w:t>我单位参与该项目投标，严格遵守政府采购相关法律，不造假，不围标、串标、陪标。我单位已清楚，如违反上述要求，投标将作无效处理，被列入不良记录名单并在网上曝光，同时将被提请政府采购主管部门给予一定年限内禁止参与政府采购活动或其他处罚</w:t>
      </w:r>
      <w:bookmarkEnd w:id="53"/>
      <w:r>
        <w:rPr>
          <w:rFonts w:hint="default" w:ascii="Times New Roman" w:hAnsi="Times New Roman" w:eastAsia="宋体" w:cs="Times New Roman"/>
          <w:szCs w:val="21"/>
          <w:highlight w:val="none"/>
        </w:rPr>
        <w:t>。</w:t>
      </w:r>
      <w:r>
        <w:rPr>
          <w:rFonts w:hint="default" w:ascii="Times New Roman" w:hAnsi="Times New Roman" w:eastAsia="宋体" w:cs="Times New Roman"/>
          <w:highlight w:val="none"/>
        </w:rPr>
        <w:t>我单位严格遵守政府采购相关法律，投标做到诚实，不造假，不围 标、串标、陪标，不存在编制、加密或上传标书的设备 mac 地址与其他投标人相同的情形。</w:t>
      </w:r>
    </w:p>
    <w:bookmarkEnd w:id="54"/>
    <w:p w14:paraId="51AE26AB">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t>7.我单位如果中标，做到守信，不偷工减料，依照本项目招标文件需求内容、签署的采购合同及本单位在投标中所作的一切承诺履约。我单位对本项目的报价负责，中标后将严格按照本项目招标文件需求、签署的采购合同及我单位在投标中所作的全部承诺履行。</w:t>
      </w:r>
    </w:p>
    <w:p w14:paraId="2AB09B87">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t>我单位清楚，若以“报价太低而无法履约”为理由放弃本项目中标资格时，愿意接受主管部门的处理处罚。若我单位中标本项目，我单位的报价明显低于其他投标人的报价时，我单位清楚，本项目将成为重点监管、重点验收项目，我单位将按时保质保量完成，并全力配合有关监管、验收工作；若我单位未按上述要求履约，我单位愿意接受主管部门的处理处罚。</w:t>
      </w:r>
    </w:p>
    <w:p w14:paraId="60A234A0">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t>8.我单位已认真核实了投标文件的全部内容，所有资料均为真实资料。我单位对投标文件中全部投标资料的真实性负责，如被证实我单位的投标文件中存在虚假资料的，则视为我单位隐瞒真实情况、提供虚假资料，我单位愿意接受主管部门作出的行政处罚。</w:t>
      </w:r>
    </w:p>
    <w:p w14:paraId="4E656684">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t>9.我单位承诺中标后项目不转包，未经采购人同意不进行分包。</w:t>
      </w:r>
    </w:p>
    <w:p w14:paraId="2E694589">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highlight w:val="none"/>
        </w:rPr>
      </w:pPr>
      <w:r>
        <w:rPr>
          <w:rFonts w:hint="default" w:ascii="Times New Roman" w:hAnsi="Times New Roman" w:eastAsia="宋体" w:cs="Times New Roman"/>
          <w:szCs w:val="21"/>
          <w:highlight w:val="none"/>
        </w:rPr>
        <w:t>10.</w:t>
      </w:r>
      <w:r>
        <w:rPr>
          <w:rFonts w:hint="default" w:ascii="Times New Roman" w:hAnsi="Times New Roman" w:eastAsia="宋体" w:cs="Times New Roman"/>
          <w:highlight w:val="none"/>
        </w:rPr>
        <w:t>我单位保证，其所提供的货物通过合法正规渠道供货，在提供给采购人前具有完全的所有权，采购人在中华人民共和国使用该货物或货物的任何一部分时，不会产生因第三方提出的包括但不限于侵犯其专利权、商标权、工业设计权等知识产权和侵犯其所有权、抵押权等物权及其他权利而引发的纠纷；如有纠纷，我单位承担全部责任。</w:t>
      </w:r>
    </w:p>
    <w:p w14:paraId="5E3B7525">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highlight w:val="none"/>
        </w:rPr>
      </w:pPr>
      <w:r>
        <w:rPr>
          <w:rFonts w:hint="default" w:ascii="Times New Roman" w:hAnsi="Times New Roman" w:eastAsia="宋体" w:cs="Times New Roman"/>
          <w:highlight w:val="none"/>
        </w:rPr>
        <w:t>11.</w:t>
      </w:r>
      <w:r>
        <w:rPr>
          <w:rFonts w:hint="default" w:ascii="Times New Roman" w:hAnsi="Times New Roman" w:eastAsia="宋体" w:cs="Times New Roman"/>
          <w:highlight w:val="green"/>
        </w:rPr>
        <w:t>我单位保证，若所投货物涉及《财政部生态环境部关于印发节能产品政府采购品目清单的通知》（财库〔2019〕19 号）列明的政府采购强制产品，则所投该产品符合节能产品的认证要求，则所投该产品符合节能产品的认证要求。若所投产品包括数据中心相关设备的，应满足财政部《绿色数据中心政府采购需求标准（试行）》（财办库〔2023〕7 号）要求。</w:t>
      </w:r>
    </w:p>
    <w:p w14:paraId="5CB1D16E">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highlight w:val="none"/>
        </w:rPr>
      </w:pPr>
      <w:r>
        <w:rPr>
          <w:rFonts w:hint="default" w:ascii="Times New Roman" w:hAnsi="Times New Roman" w:eastAsia="宋体" w:cs="Times New Roman"/>
          <w:highlight w:val="none"/>
          <w:lang w:val="en-US" w:eastAsia="zh-CN"/>
        </w:rPr>
        <w:t>12.我单位承诺，</w:t>
      </w:r>
      <w:r>
        <w:rPr>
          <w:rFonts w:hint="default" w:ascii="Times New Roman" w:hAnsi="Times New Roman" w:eastAsia="宋体" w:cs="Times New Roman"/>
          <w:highlight w:val="none"/>
          <w:lang w:eastAsia="zh-CN"/>
        </w:rPr>
        <w:t>符合</w:t>
      </w:r>
      <w:r>
        <w:rPr>
          <w:rFonts w:hint="default" w:ascii="Times New Roman" w:hAnsi="Times New Roman" w:eastAsia="宋体" w:cs="Times New Roman"/>
          <w:highlight w:val="none"/>
        </w:rPr>
        <w:t>《中华人民共和国政府采购法实施条例》第十八条第一款规定，</w:t>
      </w:r>
      <w:r>
        <w:rPr>
          <w:rFonts w:hint="default" w:ascii="Times New Roman" w:hAnsi="Times New Roman" w:eastAsia="宋体" w:cs="Times New Roman"/>
          <w:highlight w:val="none"/>
          <w:lang w:eastAsia="zh-CN"/>
        </w:rPr>
        <w:t>不存在我</w:t>
      </w:r>
      <w:r>
        <w:rPr>
          <w:rFonts w:hint="default" w:ascii="Times New Roman" w:hAnsi="Times New Roman" w:eastAsia="宋体" w:cs="Times New Roman"/>
          <w:highlight w:val="none"/>
        </w:rPr>
        <w:t>单位</w:t>
      </w:r>
      <w:r>
        <w:rPr>
          <w:rFonts w:hint="default" w:ascii="Times New Roman" w:hAnsi="Times New Roman" w:eastAsia="宋体" w:cs="Times New Roman"/>
          <w:highlight w:val="none"/>
          <w:lang w:eastAsia="zh-CN"/>
        </w:rPr>
        <w:t>与其他供应商的</w:t>
      </w:r>
      <w:r>
        <w:rPr>
          <w:rFonts w:hint="default" w:ascii="Times New Roman" w:hAnsi="Times New Roman" w:eastAsia="宋体" w:cs="Times New Roman"/>
          <w:highlight w:val="none"/>
        </w:rPr>
        <w:t>负责人</w:t>
      </w:r>
      <w:r>
        <w:rPr>
          <w:rFonts w:hint="default" w:ascii="Times New Roman" w:hAnsi="Times New Roman" w:eastAsia="宋体" w:cs="Times New Roman"/>
          <w:highlight w:val="none"/>
          <w:lang w:eastAsia="zh-CN"/>
        </w:rPr>
        <w:t>为</w:t>
      </w:r>
      <w:r>
        <w:rPr>
          <w:rFonts w:hint="default" w:ascii="Times New Roman" w:hAnsi="Times New Roman" w:eastAsia="宋体" w:cs="Times New Roman"/>
          <w:highlight w:val="none"/>
        </w:rPr>
        <w:t>同一人或者存在直接控股、管理关系的</w:t>
      </w:r>
      <w:r>
        <w:rPr>
          <w:rFonts w:hint="default" w:ascii="Times New Roman" w:hAnsi="Times New Roman" w:eastAsia="宋体" w:cs="Times New Roman"/>
          <w:highlight w:val="none"/>
          <w:lang w:eastAsia="zh-CN"/>
        </w:rPr>
        <w:t>情况</w:t>
      </w:r>
      <w:r>
        <w:rPr>
          <w:rFonts w:hint="default" w:ascii="Times New Roman" w:hAnsi="Times New Roman" w:eastAsia="宋体" w:cs="Times New Roman"/>
          <w:highlight w:val="none"/>
        </w:rPr>
        <w:t>。</w:t>
      </w:r>
    </w:p>
    <w:p w14:paraId="178F2CCC">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highlight w:val="none"/>
          <w:lang w:val="en-US" w:eastAsia="zh-CN"/>
        </w:rPr>
      </w:pPr>
      <w:r>
        <w:rPr>
          <w:rFonts w:hint="default" w:ascii="Times New Roman" w:hAnsi="Times New Roman" w:eastAsia="宋体" w:cs="Times New Roman"/>
          <w:highlight w:val="none"/>
          <w:lang w:val="en-US" w:eastAsia="zh-CN"/>
        </w:rPr>
        <w:t>13.所投标（响应）的货物、工程或服务，不存在侵犯知识产权的情况；已知悉并同意中标（成交）结果信息公示（公开）的内容。</w:t>
      </w:r>
    </w:p>
    <w:p w14:paraId="43889303">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cs="Times New Roman"/>
          <w:highlight w:val="green"/>
          <w:lang w:val="en-US" w:eastAsia="zh-CN"/>
        </w:rPr>
      </w:pPr>
      <w:r>
        <w:rPr>
          <w:rFonts w:hint="default" w:ascii="Times New Roman" w:hAnsi="Times New Roman" w:eastAsia="宋体" w:cs="Times New Roman"/>
          <w:highlight w:val="green"/>
          <w:lang w:val="en-US" w:eastAsia="zh-CN"/>
        </w:rPr>
        <w:t>14.本单位（公司）不存在《深圳市财政局政府采购供应商信用信息管理办法》（深财规〔2023〕3 号）列明的严重违法失信行为</w:t>
      </w:r>
      <w:r>
        <w:rPr>
          <w:rFonts w:hint="default" w:ascii="Times New Roman" w:hAnsi="Times New Roman" w:cs="Times New Roman"/>
          <w:highlight w:val="green"/>
          <w:lang w:val="en-US" w:eastAsia="zh-CN"/>
        </w:rPr>
        <w:t>:（一）供应商因违法经营受到刑事处罚或者责令停产停业、吊销许可证或者执照、较大数额罚款等行政处罚的；（二）供应商受到财政部门禁止参与政府采购活动行政处罚的（处罚期限届满的除外）；（三）供应商被列入失信被执行人名单的；（四）供应商被列入重大税收违法案件当事人名单的；（五）依法应予联合惩戒的其他严重失信行为。</w:t>
      </w:r>
    </w:p>
    <w:p w14:paraId="75667636">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highlight w:val="none"/>
          <w:lang w:eastAsia="zh-CN"/>
        </w:rPr>
      </w:pPr>
      <w:r>
        <w:rPr>
          <w:rFonts w:hint="default" w:ascii="Times New Roman" w:hAnsi="Times New Roman" w:eastAsia="宋体" w:cs="Times New Roman"/>
          <w:highlight w:val="none"/>
        </w:rPr>
        <w:t>以上承诺，如有违反，</w:t>
      </w:r>
      <w:r>
        <w:rPr>
          <w:rFonts w:hint="default" w:ascii="Times New Roman" w:hAnsi="Times New Roman" w:eastAsia="宋体" w:cs="Times New Roman"/>
          <w:highlight w:val="none"/>
          <w:lang w:val="en-US" w:eastAsia="zh-CN"/>
        </w:rPr>
        <w:t>采购单位或财政部门</w:t>
      </w:r>
      <w:r>
        <w:rPr>
          <w:rFonts w:hint="default" w:ascii="Times New Roman" w:hAnsi="Times New Roman" w:eastAsia="宋体" w:cs="Times New Roman"/>
          <w:highlight w:val="none"/>
        </w:rPr>
        <w:t>可暂停我方两年内参与</w:t>
      </w:r>
      <w:r>
        <w:rPr>
          <w:rFonts w:hint="eastAsia" w:cs="Times New Roman"/>
          <w:highlight w:val="none"/>
          <w:lang w:val="en-US" w:eastAsia="zh-CN"/>
        </w:rPr>
        <w:t>深圳市</w:t>
      </w:r>
      <w:r>
        <w:rPr>
          <w:rFonts w:hint="default" w:ascii="Times New Roman" w:hAnsi="Times New Roman" w:eastAsia="宋体" w:cs="Times New Roman"/>
          <w:highlight w:val="none"/>
        </w:rPr>
        <w:t>龙华区</w:t>
      </w:r>
      <w:r>
        <w:rPr>
          <w:rFonts w:hint="eastAsia" w:cs="Times New Roman"/>
          <w:highlight w:val="none"/>
          <w:lang w:val="en-US" w:eastAsia="zh-CN"/>
        </w:rPr>
        <w:t>中心医院</w:t>
      </w:r>
      <w:r>
        <w:rPr>
          <w:rFonts w:hint="default" w:ascii="Times New Roman" w:hAnsi="Times New Roman" w:eastAsia="宋体" w:cs="Times New Roman"/>
          <w:highlight w:val="none"/>
        </w:rPr>
        <w:t>的投标资格，并愿承担由此给采购人带来的损失。</w:t>
      </w:r>
      <w:r>
        <w:rPr>
          <w:rFonts w:hint="default" w:ascii="Times New Roman" w:hAnsi="Times New Roman" w:eastAsia="宋体" w:cs="Times New Roman"/>
          <w:highlight w:val="none"/>
          <w:lang w:eastAsia="zh-CN"/>
        </w:rPr>
        <w:t>以上承诺，如有违反，愿依照国家相关法律法规处理。</w:t>
      </w:r>
    </w:p>
    <w:p w14:paraId="362A9829">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t xml:space="preserve">                                    </w:t>
      </w:r>
    </w:p>
    <w:p w14:paraId="3C83C370">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color w:val="auto"/>
          <w:highlight w:val="none"/>
        </w:rPr>
      </w:pPr>
      <w:r>
        <w:rPr>
          <w:rFonts w:hint="default" w:ascii="Times New Roman" w:hAnsi="Times New Roman" w:eastAsia="宋体" w:cs="Times New Roman"/>
          <w:color w:val="FF0000"/>
          <w:szCs w:val="21"/>
          <w:highlight w:val="none"/>
          <w:lang w:val="en-US" w:eastAsia="zh-CN"/>
        </w:rPr>
        <w:t xml:space="preserve">                </w:t>
      </w:r>
      <w:r>
        <w:rPr>
          <w:rFonts w:hint="default" w:ascii="Times New Roman" w:hAnsi="Times New Roman" w:eastAsia="宋体" w:cs="Times New Roman"/>
          <w:color w:val="auto"/>
          <w:szCs w:val="21"/>
          <w:highlight w:val="none"/>
          <w:lang w:val="en-US" w:eastAsia="zh-CN"/>
        </w:rPr>
        <w:t xml:space="preserve"> </w:t>
      </w:r>
      <w:r>
        <w:rPr>
          <w:rFonts w:hint="default" w:ascii="Times New Roman" w:hAnsi="Times New Roman" w:eastAsia="宋体" w:cs="Times New Roman"/>
          <w:color w:val="auto"/>
          <w:szCs w:val="21"/>
          <w:highlight w:val="none"/>
        </w:rPr>
        <w:t>投标人：</w:t>
      </w:r>
      <w:r>
        <w:rPr>
          <w:rFonts w:hint="default" w:ascii="Times New Roman" w:hAnsi="Times New Roman" w:eastAsia="宋体" w:cs="Times New Roman"/>
          <w:color w:val="auto"/>
          <w:szCs w:val="21"/>
          <w:highlight w:val="none"/>
          <w:u w:val="single"/>
        </w:rPr>
        <w:t xml:space="preserve">              </w:t>
      </w:r>
    </w:p>
    <w:p w14:paraId="1A5D56DD">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 xml:space="preserve">                                              日期：</w:t>
      </w:r>
      <w:r>
        <w:rPr>
          <w:rFonts w:hint="default" w:ascii="Times New Roman" w:hAnsi="Times New Roman" w:eastAsia="宋体" w:cs="Times New Roman"/>
          <w:color w:val="auto"/>
          <w:szCs w:val="21"/>
          <w:highlight w:val="none"/>
          <w:u w:val="single"/>
        </w:rPr>
        <w:t xml:space="preserve">    </w:t>
      </w:r>
      <w:r>
        <w:rPr>
          <w:rFonts w:hint="default" w:ascii="Times New Roman" w:hAnsi="Times New Roman" w:eastAsia="宋体" w:cs="Times New Roman"/>
          <w:color w:val="auto"/>
          <w:szCs w:val="21"/>
          <w:highlight w:val="none"/>
        </w:rPr>
        <w:t>年</w:t>
      </w:r>
      <w:r>
        <w:rPr>
          <w:rFonts w:hint="default" w:ascii="Times New Roman" w:hAnsi="Times New Roman" w:eastAsia="宋体" w:cs="Times New Roman"/>
          <w:color w:val="auto"/>
          <w:szCs w:val="21"/>
          <w:highlight w:val="none"/>
          <w:u w:val="single"/>
        </w:rPr>
        <w:t xml:space="preserve">   </w:t>
      </w:r>
      <w:r>
        <w:rPr>
          <w:rFonts w:hint="default" w:ascii="Times New Roman" w:hAnsi="Times New Roman" w:eastAsia="宋体" w:cs="Times New Roman"/>
          <w:color w:val="auto"/>
          <w:szCs w:val="21"/>
          <w:highlight w:val="none"/>
        </w:rPr>
        <w:t>月</w:t>
      </w:r>
      <w:r>
        <w:rPr>
          <w:rFonts w:hint="default" w:ascii="Times New Roman" w:hAnsi="Times New Roman" w:eastAsia="宋体" w:cs="Times New Roman"/>
          <w:color w:val="auto"/>
          <w:szCs w:val="21"/>
          <w:highlight w:val="none"/>
          <w:u w:val="single"/>
        </w:rPr>
        <w:t xml:space="preserve">   </w:t>
      </w:r>
      <w:r>
        <w:rPr>
          <w:rFonts w:hint="default" w:ascii="Times New Roman" w:hAnsi="Times New Roman" w:eastAsia="宋体" w:cs="Times New Roman"/>
          <w:color w:val="auto"/>
          <w:szCs w:val="21"/>
          <w:highlight w:val="none"/>
        </w:rPr>
        <w:t>日</w:t>
      </w:r>
    </w:p>
    <w:bookmarkEnd w:id="52"/>
    <w:p w14:paraId="6DA76F7A">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Cs w:val="21"/>
          <w:highlight w:val="none"/>
        </w:rPr>
      </w:pPr>
    </w:p>
    <w:p w14:paraId="0FFFA8C2">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szCs w:val="21"/>
          <w:highlight w:val="none"/>
        </w:rPr>
      </w:pPr>
    </w:p>
    <w:p w14:paraId="7EBE8520">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
          <w:bCs/>
          <w:sz w:val="24"/>
          <w:highlight w:val="none"/>
        </w:rPr>
      </w:pPr>
    </w:p>
    <w:p w14:paraId="6385BE97">
      <w:pPr>
        <w:pStyle w:val="5"/>
        <w:pageBreakBefore w:val="0"/>
        <w:kinsoku/>
        <w:overflowPunct/>
        <w:topLinePunct w:val="0"/>
        <w:autoSpaceDE/>
        <w:autoSpaceDN/>
        <w:bidi w:val="0"/>
        <w:spacing w:before="0" w:beforeAutospacing="0" w:after="0" w:afterAutospacing="0" w:line="360" w:lineRule="auto"/>
        <w:ind w:left="0" w:leftChars="0" w:right="0" w:firstLine="0" w:firstLineChars="0"/>
        <w:jc w:val="center"/>
        <w:rPr>
          <w:rFonts w:hint="default" w:ascii="Times New Roman" w:hAnsi="Times New Roman" w:cs="Times New Roman"/>
          <w:b/>
          <w:bCs/>
          <w:sz w:val="32"/>
          <w:szCs w:val="22"/>
          <w:highlight w:val="none"/>
          <w:lang w:val="en-US" w:eastAsia="zh-CN"/>
        </w:rPr>
      </w:pPr>
      <w:r>
        <w:rPr>
          <w:rFonts w:hint="default" w:ascii="Times New Roman" w:hAnsi="Times New Roman" w:eastAsia="宋体" w:cs="Times New Roman"/>
          <w:b w:val="0"/>
          <w:sz w:val="24"/>
          <w:szCs w:val="24"/>
          <w:highlight w:val="none"/>
        </w:rPr>
        <w:br w:type="page"/>
      </w:r>
      <w:r>
        <w:rPr>
          <w:rFonts w:hint="default" w:ascii="Times New Roman" w:hAnsi="Times New Roman" w:cs="Times New Roman"/>
          <w:b/>
          <w:bCs/>
          <w:sz w:val="32"/>
          <w:szCs w:val="22"/>
          <w:highlight w:val="none"/>
          <w:lang w:val="en-US" w:eastAsia="zh-CN"/>
        </w:rPr>
        <w:t>三、政府采购违法行为风险知悉确认书</w:t>
      </w:r>
    </w:p>
    <w:p w14:paraId="3A96E32A">
      <w:pPr>
        <w:pageBreakBefore w:val="0"/>
        <w:kinsoku/>
        <w:overflowPunct/>
        <w:topLinePunct w:val="0"/>
        <w:autoSpaceDE/>
        <w:autoSpaceDN/>
        <w:bidi w:val="0"/>
        <w:spacing w:before="0" w:beforeAutospacing="0" w:after="0" w:afterAutospacing="0" w:line="360" w:lineRule="auto"/>
        <w:ind w:left="0" w:leftChars="0" w:right="0" w:firstLine="0" w:firstLineChars="0"/>
        <w:jc w:val="center"/>
        <w:outlineLvl w:val="9"/>
        <w:rPr>
          <w:rFonts w:hint="default" w:ascii="Times New Roman" w:hAnsi="Times New Roman" w:eastAsia="宋体" w:cs="Times New Roman"/>
          <w:b w:val="0"/>
          <w:kern w:val="0"/>
          <w:sz w:val="24"/>
          <w:szCs w:val="24"/>
          <w:highlight w:val="none"/>
        </w:rPr>
      </w:pPr>
    </w:p>
    <w:p w14:paraId="3FA6DB6F">
      <w:pPr>
        <w:keepNext w:val="0"/>
        <w:keepLines w:val="0"/>
        <w:widowControl/>
        <w:suppressLineNumbers w:val="0"/>
        <w:jc w:val="center"/>
        <w:rPr>
          <w:rFonts w:hint="default" w:ascii="Times New Roman" w:hAnsi="Times New Roman" w:eastAsia="方正小标宋简体" w:cs="Times New Roman"/>
          <w:color w:val="auto"/>
          <w:sz w:val="36"/>
          <w:szCs w:val="36"/>
        </w:rPr>
      </w:pPr>
      <w:r>
        <w:rPr>
          <w:rFonts w:hint="default" w:ascii="Times New Roman" w:hAnsi="Times New Roman" w:eastAsia="方正小标宋简体" w:cs="Times New Roman"/>
          <w:color w:val="auto"/>
          <w:kern w:val="0"/>
          <w:sz w:val="36"/>
          <w:szCs w:val="36"/>
          <w:lang w:val="en-US" w:eastAsia="zh-CN" w:bidi="ar"/>
        </w:rPr>
        <w:t>政府采购违法行为风险知悉确认书</w:t>
      </w:r>
    </w:p>
    <w:p w14:paraId="49556CAB">
      <w:pPr>
        <w:spacing w:before="0" w:beforeLines="0" w:after="157" w:afterLines="50" w:line="360" w:lineRule="exact"/>
        <w:ind w:firstLine="482" w:firstLineChars="200"/>
        <w:rPr>
          <w:rFonts w:hint="default" w:ascii="Times New Roman" w:hAnsi="Times New Roman" w:eastAsia="宋体" w:cs="Times New Roman"/>
          <w:b/>
          <w:bCs/>
          <w:color w:val="auto"/>
          <w:sz w:val="24"/>
          <w:lang w:val="en-US" w:eastAsia="zh-CN"/>
        </w:rPr>
      </w:pPr>
      <w:r>
        <w:rPr>
          <w:rFonts w:hint="default" w:ascii="Times New Roman" w:hAnsi="Times New Roman" w:cs="Times New Roman"/>
          <w:b/>
          <w:bCs/>
          <w:color w:val="auto"/>
          <w:sz w:val="24"/>
          <w:lang w:eastAsia="zh-CN"/>
        </w:rPr>
        <w:t>我</w:t>
      </w:r>
      <w:r>
        <w:rPr>
          <w:rFonts w:hint="default" w:ascii="Times New Roman" w:hAnsi="Times New Roman" w:eastAsia="宋体" w:cs="Times New Roman"/>
          <w:b/>
          <w:bCs/>
          <w:color w:val="auto"/>
          <w:sz w:val="24"/>
          <w:szCs w:val="24"/>
          <w:lang w:val="en-US" w:eastAsia="zh-CN"/>
        </w:rPr>
        <w:t>单位</w:t>
      </w:r>
      <w:r>
        <w:rPr>
          <w:rFonts w:hint="default" w:ascii="Times New Roman" w:hAnsi="Times New Roman" w:eastAsia="宋体" w:cs="Times New Roman"/>
          <w:b/>
          <w:bCs/>
          <w:color w:val="auto"/>
          <w:sz w:val="24"/>
        </w:rPr>
        <w:t>在</w:t>
      </w:r>
      <w:r>
        <w:rPr>
          <w:rFonts w:hint="default" w:ascii="Times New Roman" w:hAnsi="Times New Roman" w:cs="Times New Roman"/>
          <w:b/>
          <w:bCs/>
          <w:color w:val="auto"/>
          <w:sz w:val="24"/>
        </w:rPr>
        <w:t>投标前已充分知悉以下情形为参与政府采购活动时的重大风险事项，并承诺已对下述风险提示事项重点排查，</w:t>
      </w:r>
      <w:r>
        <w:rPr>
          <w:rFonts w:hint="default" w:ascii="Times New Roman" w:hAnsi="Times New Roman" w:eastAsia="宋体" w:cs="Times New Roman"/>
          <w:b/>
          <w:bCs/>
          <w:color w:val="auto"/>
          <w:sz w:val="24"/>
          <w:lang w:val="en-US" w:eastAsia="zh-CN"/>
        </w:rPr>
        <w:t>若存在下述情况，我单位愿意依法承担被记入供应商诚信档案、罚款、取消参与政府采购资格、吊销营业执照等处罚；构成犯罪的，依法承担刑事责任。</w:t>
      </w:r>
    </w:p>
    <w:tbl>
      <w:tblPr>
        <w:tblStyle w:val="4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11"/>
        <w:gridCol w:w="7811"/>
      </w:tblGrid>
      <w:tr w14:paraId="430649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1" w:hRule="atLeast"/>
        </w:trPr>
        <w:tc>
          <w:tcPr>
            <w:tcW w:w="711" w:type="dxa"/>
            <w:noWrap w:val="0"/>
            <w:vAlign w:val="top"/>
          </w:tcPr>
          <w:p w14:paraId="4679698E">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z w:val="24"/>
                <w:szCs w:val="24"/>
                <w:highlight w:val="none"/>
                <w:lang w:val="en-US" w:eastAsia="zh-CN"/>
              </w:rPr>
            </w:pPr>
            <w:r>
              <w:rPr>
                <w:rFonts w:hint="default" w:ascii="Times New Roman" w:hAnsi="Times New Roman" w:eastAsia="仿宋_GB2312" w:cs="Times New Roman"/>
                <w:color w:val="auto"/>
                <w:sz w:val="24"/>
                <w:szCs w:val="24"/>
                <w:highlight w:val="none"/>
                <w:lang w:val="en-US" w:eastAsia="zh-CN"/>
              </w:rPr>
              <w:t>序号</w:t>
            </w:r>
          </w:p>
        </w:tc>
        <w:tc>
          <w:tcPr>
            <w:tcW w:w="7811" w:type="dxa"/>
            <w:noWrap w:val="0"/>
            <w:vAlign w:val="top"/>
          </w:tcPr>
          <w:p w14:paraId="706C7C5A">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z w:val="24"/>
                <w:szCs w:val="24"/>
                <w:highlight w:val="none"/>
                <w:lang w:val="en-US" w:eastAsia="zh-CN"/>
              </w:rPr>
            </w:pPr>
            <w:r>
              <w:rPr>
                <w:rFonts w:hint="default" w:ascii="Times New Roman" w:hAnsi="Times New Roman" w:eastAsia="仿宋_GB2312" w:cs="Times New Roman"/>
                <w:b/>
                <w:bCs/>
                <w:color w:val="auto"/>
                <w:sz w:val="24"/>
                <w:szCs w:val="24"/>
                <w:highlight w:val="none"/>
                <w:lang w:val="en-US" w:eastAsia="zh-CN"/>
              </w:rPr>
              <w:t>供应商参与投标禁止情形</w:t>
            </w:r>
          </w:p>
        </w:tc>
      </w:tr>
      <w:tr w14:paraId="310C0D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1" w:type="dxa"/>
            <w:noWrap w:val="0"/>
            <w:vAlign w:val="top"/>
          </w:tcPr>
          <w:p w14:paraId="07B7C047">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z w:val="24"/>
                <w:szCs w:val="24"/>
                <w:highlight w:val="none"/>
                <w:lang w:val="en-US" w:eastAsia="zh-CN"/>
              </w:rPr>
            </w:pPr>
            <w:r>
              <w:rPr>
                <w:rFonts w:hint="default" w:ascii="Times New Roman" w:hAnsi="Times New Roman" w:eastAsia="仿宋_GB2312" w:cs="Times New Roman"/>
                <w:color w:val="auto"/>
                <w:sz w:val="24"/>
                <w:szCs w:val="24"/>
                <w:highlight w:val="none"/>
                <w:lang w:val="en-US" w:eastAsia="zh-CN"/>
              </w:rPr>
              <w:t>1</w:t>
            </w:r>
          </w:p>
        </w:tc>
        <w:tc>
          <w:tcPr>
            <w:tcW w:w="7811" w:type="dxa"/>
            <w:noWrap w:val="0"/>
            <w:vAlign w:val="center"/>
          </w:tcPr>
          <w:p w14:paraId="641BD5E7">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default" w:ascii="Times New Roman" w:hAnsi="Times New Roman" w:eastAsia="仿宋_GB2312" w:cs="Times New Roman"/>
                <w:color w:val="auto"/>
                <w:sz w:val="24"/>
                <w:szCs w:val="24"/>
                <w:highlight w:val="none"/>
                <w:lang w:val="en-US" w:eastAsia="zh-CN"/>
              </w:rPr>
            </w:pPr>
            <w:r>
              <w:rPr>
                <w:rFonts w:hint="default" w:ascii="Times New Roman" w:hAnsi="Times New Roman" w:eastAsia="仿宋_GB2312" w:cs="Times New Roman"/>
                <w:color w:val="auto"/>
                <w:sz w:val="24"/>
                <w:szCs w:val="24"/>
                <w:highlight w:val="none"/>
                <w:lang w:val="en-US" w:eastAsia="zh-CN"/>
              </w:rPr>
              <w:t>与其他投标供应商的法定代表人、主要经营负责人、投标授权代表人、项目负责人、主要技术人员为</w:t>
            </w:r>
            <w:r>
              <w:rPr>
                <w:rFonts w:hint="default" w:ascii="Times New Roman" w:hAnsi="Times New Roman" w:eastAsia="仿宋_GB2312" w:cs="Times New Roman"/>
                <w:b/>
                <w:bCs/>
                <w:color w:val="auto"/>
                <w:sz w:val="24"/>
                <w:szCs w:val="24"/>
                <w:highlight w:val="none"/>
                <w:lang w:val="en-US" w:eastAsia="zh-CN"/>
              </w:rPr>
              <w:t>同一人、属同一单位或者在同一单位缴纳社会保险</w:t>
            </w:r>
            <w:r>
              <w:rPr>
                <w:rFonts w:hint="default" w:ascii="Times New Roman" w:hAnsi="Times New Roman" w:eastAsia="仿宋_GB2312" w:cs="Times New Roman"/>
                <w:color w:val="auto"/>
                <w:sz w:val="24"/>
                <w:szCs w:val="24"/>
                <w:highlight w:val="none"/>
                <w:lang w:val="en-US" w:eastAsia="zh-CN"/>
              </w:rPr>
              <w:t>。</w:t>
            </w:r>
          </w:p>
        </w:tc>
      </w:tr>
      <w:tr w14:paraId="656F47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11" w:type="dxa"/>
            <w:noWrap w:val="0"/>
            <w:vAlign w:val="top"/>
          </w:tcPr>
          <w:p w14:paraId="3C13DDBD">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z w:val="24"/>
                <w:szCs w:val="24"/>
                <w:highlight w:val="none"/>
                <w:lang w:val="en-US" w:eastAsia="zh-CN"/>
              </w:rPr>
            </w:pPr>
            <w:r>
              <w:rPr>
                <w:rFonts w:hint="default" w:ascii="Times New Roman" w:hAnsi="Times New Roman" w:eastAsia="仿宋_GB2312" w:cs="Times New Roman"/>
                <w:color w:val="auto"/>
                <w:sz w:val="24"/>
                <w:szCs w:val="24"/>
                <w:highlight w:val="none"/>
                <w:lang w:val="en-US" w:eastAsia="zh-CN"/>
              </w:rPr>
              <w:t>2</w:t>
            </w:r>
          </w:p>
        </w:tc>
        <w:tc>
          <w:tcPr>
            <w:tcW w:w="7811" w:type="dxa"/>
            <w:noWrap w:val="0"/>
            <w:vAlign w:val="center"/>
          </w:tcPr>
          <w:p w14:paraId="3C16BD2C">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default" w:ascii="Times New Roman" w:hAnsi="Times New Roman" w:eastAsia="仿宋_GB2312" w:cs="Times New Roman"/>
                <w:color w:val="auto"/>
                <w:sz w:val="24"/>
                <w:szCs w:val="24"/>
                <w:highlight w:val="none"/>
                <w:lang w:val="en-US" w:eastAsia="zh-CN"/>
              </w:rPr>
            </w:pPr>
            <w:r>
              <w:rPr>
                <w:rFonts w:hint="default" w:ascii="Times New Roman" w:hAnsi="Times New Roman" w:eastAsia="仿宋_GB2312" w:cs="Times New Roman"/>
                <w:color w:val="auto"/>
                <w:sz w:val="24"/>
                <w:szCs w:val="24"/>
                <w:highlight w:val="none"/>
                <w:lang w:val="en-US" w:eastAsia="zh-CN"/>
              </w:rPr>
              <w:t>参与本项目政府采购活动时，与其他投标供应商存在单位负责人为</w:t>
            </w:r>
            <w:r>
              <w:rPr>
                <w:rFonts w:hint="default" w:ascii="Times New Roman" w:hAnsi="Times New Roman" w:eastAsia="仿宋_GB2312" w:cs="Times New Roman"/>
                <w:b/>
                <w:bCs/>
                <w:color w:val="auto"/>
                <w:sz w:val="24"/>
                <w:szCs w:val="24"/>
                <w:highlight w:val="none"/>
                <w:lang w:val="en-US" w:eastAsia="zh-CN"/>
              </w:rPr>
              <w:t>同一人或直接控股、管理关系</w:t>
            </w:r>
            <w:r>
              <w:rPr>
                <w:rFonts w:hint="default" w:ascii="Times New Roman" w:hAnsi="Times New Roman" w:eastAsia="仿宋_GB2312" w:cs="Times New Roman"/>
                <w:color w:val="auto"/>
                <w:sz w:val="24"/>
                <w:szCs w:val="24"/>
                <w:highlight w:val="none"/>
                <w:lang w:val="en-US" w:eastAsia="zh-CN"/>
              </w:rPr>
              <w:t>。</w:t>
            </w:r>
          </w:p>
        </w:tc>
      </w:tr>
      <w:tr w14:paraId="12F0C2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1" w:type="dxa"/>
            <w:noWrap w:val="0"/>
            <w:vAlign w:val="top"/>
          </w:tcPr>
          <w:p w14:paraId="1744254B">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z w:val="24"/>
                <w:szCs w:val="24"/>
                <w:highlight w:val="none"/>
                <w:lang w:val="en-US" w:eastAsia="zh-CN"/>
              </w:rPr>
            </w:pPr>
            <w:r>
              <w:rPr>
                <w:rFonts w:hint="default" w:ascii="Times New Roman" w:hAnsi="Times New Roman" w:eastAsia="仿宋_GB2312" w:cs="Times New Roman"/>
                <w:color w:val="auto"/>
                <w:sz w:val="24"/>
                <w:szCs w:val="24"/>
                <w:highlight w:val="none"/>
                <w:lang w:val="en-US" w:eastAsia="zh-CN"/>
              </w:rPr>
              <w:t>3</w:t>
            </w:r>
          </w:p>
        </w:tc>
        <w:tc>
          <w:tcPr>
            <w:tcW w:w="7811" w:type="dxa"/>
            <w:noWrap w:val="0"/>
            <w:vAlign w:val="center"/>
          </w:tcPr>
          <w:p w14:paraId="503181AF">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default" w:ascii="Times New Roman" w:hAnsi="Times New Roman" w:eastAsia="仿宋_GB2312" w:cs="Times New Roman"/>
                <w:color w:val="auto"/>
                <w:sz w:val="24"/>
                <w:szCs w:val="24"/>
                <w:highlight w:val="none"/>
                <w:lang w:val="en-US" w:eastAsia="zh-CN"/>
              </w:rPr>
            </w:pPr>
            <w:r>
              <w:rPr>
                <w:rFonts w:hint="default" w:ascii="Times New Roman" w:hAnsi="Times New Roman" w:eastAsia="仿宋_GB2312" w:cs="Times New Roman"/>
                <w:color w:val="auto"/>
                <w:sz w:val="24"/>
                <w:szCs w:val="24"/>
                <w:highlight w:val="none"/>
                <w:lang w:val="en-US" w:eastAsia="zh-CN"/>
              </w:rPr>
              <w:t>与其他投标供应商的投标文件或部分投标文件</w:t>
            </w:r>
            <w:r>
              <w:rPr>
                <w:rFonts w:hint="default" w:ascii="Times New Roman" w:hAnsi="Times New Roman" w:eastAsia="仿宋_GB2312" w:cs="Times New Roman"/>
                <w:b/>
                <w:bCs/>
                <w:color w:val="auto"/>
                <w:sz w:val="24"/>
                <w:szCs w:val="24"/>
                <w:highlight w:val="none"/>
                <w:lang w:val="en-US" w:eastAsia="zh-CN"/>
              </w:rPr>
              <w:t>相互混装或存在非正常一致</w:t>
            </w:r>
            <w:r>
              <w:rPr>
                <w:rFonts w:hint="default" w:ascii="Times New Roman" w:hAnsi="Times New Roman" w:eastAsia="仿宋_GB2312" w:cs="Times New Roman"/>
                <w:color w:val="auto"/>
                <w:sz w:val="24"/>
                <w:szCs w:val="24"/>
                <w:highlight w:val="none"/>
                <w:lang w:val="en-US" w:eastAsia="zh-CN"/>
              </w:rPr>
              <w:t>。</w:t>
            </w:r>
          </w:p>
        </w:tc>
      </w:tr>
      <w:tr w14:paraId="21CCDE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1" w:type="dxa"/>
            <w:noWrap w:val="0"/>
            <w:vAlign w:val="top"/>
          </w:tcPr>
          <w:p w14:paraId="4270119A">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z w:val="24"/>
                <w:szCs w:val="24"/>
                <w:highlight w:val="none"/>
                <w:lang w:val="en-US" w:eastAsia="zh-CN"/>
              </w:rPr>
            </w:pPr>
            <w:r>
              <w:rPr>
                <w:rFonts w:hint="default" w:ascii="Times New Roman" w:hAnsi="Times New Roman" w:eastAsia="仿宋_GB2312" w:cs="Times New Roman"/>
                <w:color w:val="auto"/>
                <w:sz w:val="24"/>
                <w:szCs w:val="24"/>
                <w:highlight w:val="none"/>
                <w:lang w:val="en-US" w:eastAsia="zh-CN"/>
              </w:rPr>
              <w:t>4</w:t>
            </w:r>
          </w:p>
        </w:tc>
        <w:tc>
          <w:tcPr>
            <w:tcW w:w="7811" w:type="dxa"/>
            <w:noWrap w:val="0"/>
            <w:vAlign w:val="center"/>
          </w:tcPr>
          <w:p w14:paraId="24C3E332">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sz w:val="24"/>
                <w:szCs w:val="24"/>
                <w:highlight w:val="none"/>
                <w:lang w:val="en-US" w:eastAsia="zh-CN"/>
              </w:rPr>
              <w:t>与其他投标供应商的投标文件由</w:t>
            </w:r>
            <w:r>
              <w:rPr>
                <w:rFonts w:hint="default" w:ascii="Times New Roman" w:hAnsi="Times New Roman" w:eastAsia="仿宋_GB2312" w:cs="Times New Roman"/>
                <w:b/>
                <w:bCs/>
                <w:color w:val="auto"/>
                <w:sz w:val="24"/>
                <w:szCs w:val="24"/>
                <w:highlight w:val="none"/>
                <w:lang w:val="en-US" w:eastAsia="zh-CN"/>
              </w:rPr>
              <w:t>同一单位或者同一人编制</w:t>
            </w:r>
            <w:r>
              <w:rPr>
                <w:rFonts w:hint="default" w:ascii="Times New Roman" w:hAnsi="Times New Roman" w:eastAsia="仿宋_GB2312" w:cs="Times New Roman"/>
                <w:color w:val="auto"/>
                <w:sz w:val="24"/>
                <w:szCs w:val="24"/>
                <w:highlight w:val="none"/>
                <w:lang w:val="en-US" w:eastAsia="zh-CN"/>
              </w:rPr>
              <w:t>，或者使用</w:t>
            </w:r>
            <w:r>
              <w:rPr>
                <w:rFonts w:hint="default" w:ascii="Times New Roman" w:hAnsi="Times New Roman" w:eastAsia="仿宋_GB2312" w:cs="Times New Roman"/>
                <w:b/>
                <w:bCs/>
                <w:color w:val="auto"/>
                <w:sz w:val="24"/>
                <w:szCs w:val="24"/>
                <w:highlight w:val="none"/>
                <w:lang w:val="en-US" w:eastAsia="zh-CN"/>
              </w:rPr>
              <w:t>同一设备编制</w:t>
            </w:r>
            <w:r>
              <w:rPr>
                <w:rFonts w:hint="default" w:ascii="Times New Roman" w:hAnsi="Times New Roman" w:eastAsia="仿宋_GB2312" w:cs="Times New Roman"/>
                <w:color w:val="auto"/>
                <w:sz w:val="24"/>
                <w:szCs w:val="24"/>
                <w:highlight w:val="none"/>
                <w:lang w:val="en-US" w:eastAsia="zh-CN"/>
              </w:rPr>
              <w:t>（“文件制作机器码”“文件创建标识码”一致）。</w:t>
            </w:r>
          </w:p>
        </w:tc>
      </w:tr>
      <w:tr w14:paraId="0E571C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11" w:type="dxa"/>
            <w:noWrap w:val="0"/>
            <w:vAlign w:val="top"/>
          </w:tcPr>
          <w:p w14:paraId="01F5AFEB">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z w:val="24"/>
                <w:szCs w:val="24"/>
                <w:highlight w:val="none"/>
                <w:lang w:val="en-US" w:eastAsia="zh-CN"/>
              </w:rPr>
            </w:pPr>
            <w:r>
              <w:rPr>
                <w:rFonts w:hint="default" w:ascii="Times New Roman" w:hAnsi="Times New Roman" w:eastAsia="仿宋_GB2312" w:cs="Times New Roman"/>
                <w:color w:val="auto"/>
                <w:sz w:val="24"/>
                <w:szCs w:val="24"/>
                <w:highlight w:val="none"/>
                <w:lang w:val="en-US" w:eastAsia="zh-CN"/>
              </w:rPr>
              <w:t>5</w:t>
            </w:r>
          </w:p>
        </w:tc>
        <w:tc>
          <w:tcPr>
            <w:tcW w:w="7811" w:type="dxa"/>
            <w:noWrap w:val="0"/>
            <w:vAlign w:val="center"/>
          </w:tcPr>
          <w:p w14:paraId="387BA136">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default" w:ascii="Times New Roman" w:hAnsi="Times New Roman" w:eastAsia="仿宋_GB2312" w:cs="Times New Roman"/>
                <w:color w:val="auto"/>
                <w:sz w:val="24"/>
                <w:szCs w:val="24"/>
                <w:highlight w:val="none"/>
                <w:lang w:val="en-US" w:eastAsia="zh-CN"/>
              </w:rPr>
            </w:pPr>
            <w:r>
              <w:rPr>
                <w:rFonts w:hint="default" w:ascii="Times New Roman" w:hAnsi="Times New Roman" w:eastAsia="仿宋_GB2312" w:cs="Times New Roman"/>
                <w:color w:val="auto"/>
                <w:sz w:val="24"/>
                <w:szCs w:val="24"/>
                <w:highlight w:val="none"/>
                <w:lang w:val="en-US" w:eastAsia="zh-CN"/>
              </w:rPr>
              <w:t>提供</w:t>
            </w:r>
            <w:r>
              <w:rPr>
                <w:rFonts w:hint="default" w:ascii="Times New Roman" w:hAnsi="Times New Roman" w:eastAsia="仿宋_GB2312" w:cs="Times New Roman"/>
                <w:b/>
                <w:bCs/>
                <w:color w:val="auto"/>
                <w:sz w:val="24"/>
                <w:szCs w:val="24"/>
                <w:highlight w:val="none"/>
                <w:lang w:val="en-US" w:eastAsia="zh-CN"/>
              </w:rPr>
              <w:t>未经出具机构核实</w:t>
            </w:r>
            <w:r>
              <w:rPr>
                <w:rFonts w:hint="default" w:ascii="Times New Roman" w:hAnsi="Times New Roman" w:eastAsia="仿宋_GB2312" w:cs="Times New Roman"/>
                <w:color w:val="auto"/>
                <w:sz w:val="24"/>
                <w:szCs w:val="24"/>
                <w:highlight w:val="none"/>
                <w:lang w:val="en-US" w:eastAsia="zh-CN"/>
              </w:rPr>
              <w:t>的虚假的检验检测报告、业绩材料、社保缴纳证明、学历学位证书、职称认证证书等材料。</w:t>
            </w:r>
          </w:p>
        </w:tc>
      </w:tr>
      <w:tr w14:paraId="0815D2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1" w:type="dxa"/>
            <w:noWrap w:val="0"/>
            <w:vAlign w:val="top"/>
          </w:tcPr>
          <w:p w14:paraId="2C0E3E67">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z w:val="24"/>
                <w:szCs w:val="24"/>
                <w:highlight w:val="none"/>
                <w:lang w:val="en-US" w:eastAsia="zh-CN"/>
              </w:rPr>
            </w:pPr>
            <w:r>
              <w:rPr>
                <w:rFonts w:hint="default" w:ascii="Times New Roman" w:hAnsi="Times New Roman" w:eastAsia="仿宋_GB2312" w:cs="Times New Roman"/>
                <w:color w:val="auto"/>
                <w:sz w:val="24"/>
                <w:szCs w:val="24"/>
                <w:highlight w:val="none"/>
                <w:lang w:val="en-US" w:eastAsia="zh-CN"/>
              </w:rPr>
              <w:t>6</w:t>
            </w:r>
          </w:p>
        </w:tc>
        <w:tc>
          <w:tcPr>
            <w:tcW w:w="7811" w:type="dxa"/>
            <w:noWrap w:val="0"/>
            <w:vAlign w:val="center"/>
          </w:tcPr>
          <w:p w14:paraId="76CAB45A">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sz w:val="24"/>
                <w:szCs w:val="24"/>
                <w:highlight w:val="none"/>
                <w:lang w:val="en-US" w:eastAsia="zh-CN"/>
              </w:rPr>
              <w:t>擅自将投标密钥或电子营业执照出借他人使用或未妥善保管。</w:t>
            </w:r>
          </w:p>
        </w:tc>
      </w:tr>
    </w:tbl>
    <w:p w14:paraId="5AC77918">
      <w:pPr>
        <w:spacing w:before="157" w:beforeLines="50" w:line="380" w:lineRule="exact"/>
        <w:ind w:firstLine="422" w:firstLineChars="200"/>
        <w:rPr>
          <w:rFonts w:hint="default" w:ascii="Times New Roman" w:hAnsi="Times New Roman" w:cs="Times New Roman"/>
          <w:b/>
          <w:color w:val="auto"/>
        </w:rPr>
      </w:pPr>
      <w:r>
        <w:rPr>
          <w:rFonts w:hint="default" w:ascii="Times New Roman" w:hAnsi="Times New Roman" w:cs="Times New Roman"/>
          <w:b/>
          <w:color w:val="auto"/>
        </w:rPr>
        <w:t>一、</w:t>
      </w:r>
      <w:r>
        <w:rPr>
          <w:rFonts w:hint="default" w:ascii="Times New Roman" w:hAnsi="Times New Roman" w:cs="Times New Roman"/>
          <w:b/>
          <w:color w:val="auto"/>
          <w:lang w:eastAsia="zh-CN"/>
        </w:rPr>
        <w:t>我</w:t>
      </w:r>
      <w:r>
        <w:rPr>
          <w:rFonts w:hint="default" w:ascii="Times New Roman" w:hAnsi="Times New Roman" w:cs="Times New Roman"/>
          <w:b/>
          <w:color w:val="auto"/>
          <w:lang w:val="en-US" w:eastAsia="zh-CN"/>
        </w:rPr>
        <w:t>单位</w:t>
      </w:r>
      <w:r>
        <w:rPr>
          <w:rFonts w:hint="default" w:ascii="Times New Roman" w:hAnsi="Times New Roman" w:cs="Times New Roman"/>
          <w:b/>
          <w:color w:val="auto"/>
        </w:rPr>
        <w:t>已充分知悉“隐瞒真实情况，提供虚假资料”的法定情形，包括但不限于：</w:t>
      </w:r>
    </w:p>
    <w:p w14:paraId="6EA26D20">
      <w:pPr>
        <w:spacing w:beforeLines="0" w:line="380" w:lineRule="exact"/>
        <w:ind w:firstLine="420" w:firstLineChars="200"/>
        <w:rPr>
          <w:rFonts w:hint="default" w:ascii="Times New Roman" w:hAnsi="Times New Roman" w:cs="Times New Roman"/>
          <w:color w:val="auto"/>
        </w:rPr>
      </w:pPr>
      <w:r>
        <w:rPr>
          <w:rFonts w:hint="default" w:ascii="Times New Roman" w:hAnsi="Times New Roman" w:cs="Times New Roman"/>
          <w:color w:val="auto"/>
        </w:rPr>
        <w:t>（一）通过转让或者租借等方式从其他单位获取资格或者资质证书投标的</w:t>
      </w:r>
      <w:r>
        <w:rPr>
          <w:rFonts w:hint="default" w:ascii="Times New Roman" w:hAnsi="Times New Roman" w:cs="Times New Roman"/>
          <w:color w:val="auto"/>
          <w:highlight w:val="none"/>
        </w:rPr>
        <w:t>。</w:t>
      </w:r>
    </w:p>
    <w:p w14:paraId="7BF1C75C">
      <w:pPr>
        <w:spacing w:beforeLines="0" w:line="380" w:lineRule="exact"/>
        <w:ind w:firstLine="420" w:firstLineChars="200"/>
        <w:rPr>
          <w:rFonts w:hint="default" w:ascii="Times New Roman" w:hAnsi="Times New Roman" w:cs="Times New Roman"/>
          <w:color w:val="auto"/>
        </w:rPr>
      </w:pPr>
      <w:r>
        <w:rPr>
          <w:rFonts w:hint="default" w:ascii="Times New Roman" w:hAnsi="Times New Roman" w:cs="Times New Roman"/>
          <w:color w:val="auto"/>
        </w:rPr>
        <w:t>（二）由其他单位或者其他单位负责人在投标供应商编制的投标文件上加盖印章或者签字的。</w:t>
      </w:r>
    </w:p>
    <w:p w14:paraId="1564E64A">
      <w:pPr>
        <w:spacing w:beforeLines="0" w:line="380" w:lineRule="exact"/>
        <w:ind w:firstLine="420" w:firstLineChars="200"/>
        <w:rPr>
          <w:rFonts w:hint="default" w:ascii="Times New Roman" w:hAnsi="Times New Roman" w:cs="Times New Roman"/>
          <w:color w:val="auto"/>
        </w:rPr>
      </w:pPr>
      <w:r>
        <w:rPr>
          <w:rFonts w:hint="default" w:ascii="Times New Roman" w:hAnsi="Times New Roman" w:cs="Times New Roman"/>
          <w:color w:val="auto"/>
        </w:rPr>
        <w:t>（三）项目负责人或者主要技术人员不是本单位人员的。</w:t>
      </w:r>
    </w:p>
    <w:p w14:paraId="38B66E69">
      <w:pPr>
        <w:spacing w:beforeLines="0" w:line="380" w:lineRule="exact"/>
        <w:ind w:firstLine="420" w:firstLineChars="200"/>
        <w:rPr>
          <w:rFonts w:hint="default" w:ascii="Times New Roman" w:hAnsi="Times New Roman" w:cs="Times New Roman"/>
          <w:color w:val="auto"/>
        </w:rPr>
      </w:pPr>
      <w:r>
        <w:rPr>
          <w:rFonts w:hint="default" w:ascii="Times New Roman" w:hAnsi="Times New Roman" w:cs="Times New Roman"/>
          <w:color w:val="auto"/>
        </w:rPr>
        <w:t>（四）投标保证金不是从投标供应商基本账户转出的。</w:t>
      </w:r>
    </w:p>
    <w:p w14:paraId="109FE2AF">
      <w:pPr>
        <w:spacing w:beforeLines="0" w:line="380" w:lineRule="exact"/>
        <w:ind w:firstLine="420" w:firstLineChars="200"/>
        <w:rPr>
          <w:rFonts w:hint="default" w:ascii="Times New Roman" w:hAnsi="Times New Roman" w:cs="Times New Roman"/>
          <w:color w:val="auto"/>
        </w:rPr>
      </w:pPr>
      <w:r>
        <w:rPr>
          <w:rFonts w:hint="default" w:ascii="Times New Roman" w:hAnsi="Times New Roman" w:cs="Times New Roman"/>
          <w:color w:val="auto"/>
        </w:rPr>
        <w:t>（五）其他隐瞒真实情况、提供虚假资料的行为。</w:t>
      </w:r>
    </w:p>
    <w:p w14:paraId="012A7811">
      <w:pPr>
        <w:spacing w:beforeLines="0" w:line="380" w:lineRule="exact"/>
        <w:ind w:firstLine="422" w:firstLineChars="200"/>
        <w:rPr>
          <w:rFonts w:hint="default" w:ascii="Times New Roman" w:hAnsi="Times New Roman" w:cs="Times New Roman"/>
          <w:b/>
          <w:color w:val="auto"/>
        </w:rPr>
      </w:pPr>
      <w:r>
        <w:rPr>
          <w:rFonts w:hint="default" w:ascii="Times New Roman" w:hAnsi="Times New Roman" w:cs="Times New Roman"/>
          <w:b/>
          <w:color w:val="auto"/>
        </w:rPr>
        <w:t>二、</w:t>
      </w:r>
      <w:r>
        <w:rPr>
          <w:rFonts w:hint="default" w:ascii="Times New Roman" w:hAnsi="Times New Roman" w:cs="Times New Roman"/>
          <w:b/>
          <w:color w:val="auto"/>
          <w:lang w:eastAsia="zh-CN"/>
        </w:rPr>
        <w:t>我</w:t>
      </w:r>
      <w:r>
        <w:rPr>
          <w:rFonts w:hint="default" w:ascii="Times New Roman" w:hAnsi="Times New Roman" w:cs="Times New Roman"/>
          <w:b/>
          <w:color w:val="auto"/>
          <w:lang w:val="en-US" w:eastAsia="zh-CN"/>
        </w:rPr>
        <w:t>单位</w:t>
      </w:r>
      <w:r>
        <w:rPr>
          <w:rFonts w:hint="default" w:ascii="Times New Roman" w:hAnsi="Times New Roman" w:cs="Times New Roman"/>
          <w:b/>
          <w:color w:val="auto"/>
        </w:rPr>
        <w:t>已充分知悉“与其他采购参加人串通投标”的法定情形，包括但不限于：</w:t>
      </w:r>
    </w:p>
    <w:p w14:paraId="4267013F">
      <w:pPr>
        <w:spacing w:beforeLines="0" w:line="380" w:lineRule="exact"/>
        <w:ind w:firstLine="420" w:firstLineChars="200"/>
        <w:rPr>
          <w:rFonts w:hint="default" w:ascii="Times New Roman" w:hAnsi="Times New Roman" w:cs="Times New Roman"/>
          <w:color w:val="auto"/>
        </w:rPr>
      </w:pPr>
      <w:r>
        <w:rPr>
          <w:rFonts w:hint="default" w:ascii="Times New Roman" w:hAnsi="Times New Roman" w:cs="Times New Roman"/>
          <w:color w:val="auto"/>
        </w:rPr>
        <w:t>（一）投标供应商之间相互约定给予未中标的供应商利益补偿。</w:t>
      </w:r>
    </w:p>
    <w:p w14:paraId="3D51E15F">
      <w:pPr>
        <w:spacing w:beforeLines="0" w:line="380" w:lineRule="exact"/>
        <w:ind w:firstLine="420" w:firstLineChars="200"/>
        <w:rPr>
          <w:rFonts w:hint="default" w:ascii="Times New Roman" w:hAnsi="Times New Roman" w:cs="Times New Roman"/>
          <w:color w:val="auto"/>
        </w:rPr>
      </w:pPr>
      <w:r>
        <w:rPr>
          <w:rFonts w:hint="default" w:ascii="Times New Roman" w:hAnsi="Times New Roman" w:cs="Times New Roman"/>
          <w:color w:val="auto"/>
        </w:rPr>
        <w:t>（二）不同投标供应商的法定代表人、主要经营负责人、项目投标授权代表人、项目负责人、主要技术人员为同一人、属同一单位或者在同一单位缴纳社会保险。</w:t>
      </w:r>
    </w:p>
    <w:p w14:paraId="72A55D05">
      <w:pPr>
        <w:spacing w:beforeLines="0" w:line="340" w:lineRule="exact"/>
        <w:ind w:firstLine="420" w:firstLineChars="200"/>
        <w:rPr>
          <w:rFonts w:hint="default" w:ascii="Times New Roman" w:hAnsi="Times New Roman" w:cs="Times New Roman"/>
          <w:color w:val="auto"/>
        </w:rPr>
      </w:pPr>
      <w:r>
        <w:rPr>
          <w:rFonts w:hint="default" w:ascii="Times New Roman" w:hAnsi="Times New Roman" w:cs="Times New Roman"/>
          <w:color w:val="auto"/>
        </w:rPr>
        <w:t>（三）不同投标供应商的投标文件由同一单位或者同一人编制，或者由同一人分阶段参与编制的。</w:t>
      </w:r>
    </w:p>
    <w:p w14:paraId="2D484F71">
      <w:pPr>
        <w:spacing w:beforeLines="0" w:line="340" w:lineRule="exact"/>
        <w:ind w:firstLine="420" w:firstLineChars="200"/>
        <w:rPr>
          <w:rFonts w:hint="default" w:ascii="Times New Roman" w:hAnsi="Times New Roman" w:cs="Times New Roman"/>
          <w:color w:val="auto"/>
        </w:rPr>
      </w:pPr>
      <w:r>
        <w:rPr>
          <w:rFonts w:hint="default" w:ascii="Times New Roman" w:hAnsi="Times New Roman" w:cs="Times New Roman"/>
          <w:color w:val="auto"/>
        </w:rPr>
        <w:t>（四）不同投标供应商的投标文件或部分投标文件相互混装。</w:t>
      </w:r>
    </w:p>
    <w:p w14:paraId="4499B2EA">
      <w:pPr>
        <w:spacing w:beforeLines="0" w:line="340" w:lineRule="exact"/>
        <w:ind w:firstLine="420" w:firstLineChars="200"/>
        <w:rPr>
          <w:rFonts w:hint="default" w:ascii="Times New Roman" w:hAnsi="Times New Roman" w:cs="Times New Roman"/>
          <w:color w:val="auto"/>
        </w:rPr>
      </w:pPr>
      <w:r>
        <w:rPr>
          <w:rFonts w:hint="default" w:ascii="Times New Roman" w:hAnsi="Times New Roman" w:cs="Times New Roman"/>
          <w:color w:val="auto"/>
        </w:rPr>
        <w:t>（五）不同投标供应商的投标文件内容存在非正常一致。</w:t>
      </w:r>
    </w:p>
    <w:p w14:paraId="79493344">
      <w:pPr>
        <w:spacing w:beforeLines="0" w:line="340" w:lineRule="exact"/>
        <w:ind w:firstLine="420" w:firstLineChars="200"/>
        <w:rPr>
          <w:rFonts w:hint="default" w:ascii="Times New Roman" w:hAnsi="Times New Roman" w:cs="Times New Roman"/>
          <w:color w:val="auto"/>
        </w:rPr>
      </w:pPr>
      <w:r>
        <w:rPr>
          <w:rFonts w:hint="default" w:ascii="Times New Roman" w:hAnsi="Times New Roman" w:cs="Times New Roman"/>
          <w:color w:val="auto"/>
        </w:rPr>
        <w:t>（六）由同一单位工作人员为两家以上（含两家）供应商进行同一项投标活动的。</w:t>
      </w:r>
    </w:p>
    <w:p w14:paraId="27621CF4">
      <w:pPr>
        <w:spacing w:beforeLines="0" w:line="340" w:lineRule="exact"/>
        <w:ind w:firstLine="420" w:firstLineChars="200"/>
        <w:rPr>
          <w:rFonts w:hint="default" w:ascii="Times New Roman" w:hAnsi="Times New Roman" w:cs="Times New Roman"/>
          <w:color w:val="auto"/>
        </w:rPr>
      </w:pPr>
      <w:r>
        <w:rPr>
          <w:rFonts w:hint="default" w:ascii="Times New Roman" w:hAnsi="Times New Roman" w:cs="Times New Roman"/>
          <w:color w:val="auto"/>
        </w:rPr>
        <w:t>（七）不同投标人的投标报价呈规律性差异。</w:t>
      </w:r>
    </w:p>
    <w:p w14:paraId="7D8E5909">
      <w:pPr>
        <w:spacing w:beforeLines="0" w:line="340" w:lineRule="exact"/>
        <w:ind w:firstLine="420" w:firstLineChars="200"/>
        <w:rPr>
          <w:rFonts w:hint="default" w:ascii="Times New Roman" w:hAnsi="Times New Roman" w:cs="Times New Roman"/>
          <w:color w:val="auto"/>
        </w:rPr>
      </w:pPr>
      <w:r>
        <w:rPr>
          <w:rFonts w:hint="default" w:ascii="Times New Roman" w:hAnsi="Times New Roman" w:cs="Times New Roman"/>
          <w:color w:val="auto"/>
        </w:rPr>
        <w:t>（八）不同投标人的投标保证金从同一单位或者个人的账户转出。</w:t>
      </w:r>
    </w:p>
    <w:p w14:paraId="45EE5883">
      <w:pPr>
        <w:spacing w:beforeLines="0" w:line="340" w:lineRule="exact"/>
        <w:ind w:firstLine="420" w:firstLineChars="200"/>
        <w:rPr>
          <w:rFonts w:hint="default" w:ascii="Times New Roman" w:hAnsi="Times New Roman" w:cs="Times New Roman"/>
          <w:color w:val="auto"/>
        </w:rPr>
      </w:pPr>
      <w:r>
        <w:rPr>
          <w:rFonts w:hint="default" w:ascii="Times New Roman" w:hAnsi="Times New Roman" w:cs="Times New Roman"/>
          <w:color w:val="auto"/>
        </w:rPr>
        <w:t>（九）主管部门依照法律、法规认定的其他情形。</w:t>
      </w:r>
    </w:p>
    <w:p w14:paraId="7B94F5AA">
      <w:pPr>
        <w:spacing w:beforeLines="0" w:line="340" w:lineRule="exact"/>
        <w:ind w:firstLine="422" w:firstLineChars="200"/>
        <w:rPr>
          <w:rFonts w:hint="default" w:ascii="Times New Roman" w:hAnsi="Times New Roman" w:cs="Times New Roman"/>
          <w:b/>
          <w:color w:val="auto"/>
        </w:rPr>
      </w:pPr>
      <w:r>
        <w:rPr>
          <w:rFonts w:hint="default" w:ascii="Times New Roman" w:hAnsi="Times New Roman" w:cs="Times New Roman"/>
          <w:b/>
          <w:color w:val="auto"/>
        </w:rPr>
        <w:t>三、</w:t>
      </w:r>
      <w:r>
        <w:rPr>
          <w:rFonts w:hint="default" w:ascii="Times New Roman" w:hAnsi="Times New Roman" w:cs="Times New Roman"/>
          <w:b/>
          <w:color w:val="auto"/>
          <w:lang w:eastAsia="zh-CN"/>
        </w:rPr>
        <w:t>我</w:t>
      </w:r>
      <w:r>
        <w:rPr>
          <w:rFonts w:hint="default" w:ascii="Times New Roman" w:hAnsi="Times New Roman" w:cs="Times New Roman"/>
          <w:b/>
          <w:color w:val="auto"/>
          <w:lang w:val="en-US" w:eastAsia="zh-CN"/>
        </w:rPr>
        <w:t>单位</w:t>
      </w:r>
      <w:r>
        <w:rPr>
          <w:rFonts w:hint="default" w:ascii="Times New Roman" w:hAnsi="Times New Roman" w:cs="Times New Roman"/>
          <w:b/>
          <w:color w:val="auto"/>
        </w:rPr>
        <w:t>已充分知悉下列情形</w:t>
      </w:r>
      <w:r>
        <w:rPr>
          <w:rFonts w:hint="default" w:ascii="Times New Roman" w:hAnsi="Times New Roman" w:cs="Times New Roman"/>
          <w:b/>
          <w:color w:val="auto"/>
          <w:lang w:eastAsia="zh-CN"/>
        </w:rPr>
        <w:t>存在</w:t>
      </w:r>
      <w:r>
        <w:rPr>
          <w:rFonts w:hint="default" w:ascii="Times New Roman" w:hAnsi="Times New Roman" w:cs="Times New Roman"/>
          <w:b/>
          <w:color w:val="auto"/>
        </w:rPr>
        <w:t>法律风险，在投标前已对相关风险事项进行排</w:t>
      </w:r>
      <w:r>
        <w:rPr>
          <w:rFonts w:hint="default" w:ascii="Times New Roman" w:hAnsi="Times New Roman" w:cs="Times New Roman"/>
          <w:b/>
          <w:color w:val="auto"/>
          <w:highlight w:val="none"/>
        </w:rPr>
        <w:t>查。</w:t>
      </w:r>
    </w:p>
    <w:p w14:paraId="26FF495B">
      <w:pPr>
        <w:spacing w:beforeLines="0" w:line="340" w:lineRule="exact"/>
        <w:ind w:firstLine="420" w:firstLineChars="200"/>
        <w:rPr>
          <w:rFonts w:hint="default" w:ascii="Times New Roman" w:hAnsi="Times New Roman" w:cs="Times New Roman"/>
          <w:b/>
          <w:color w:val="auto"/>
        </w:rPr>
      </w:pPr>
      <w:r>
        <w:rPr>
          <w:rFonts w:hint="default" w:ascii="Times New Roman" w:hAnsi="Times New Roman" w:cs="Times New Roman"/>
          <w:color w:val="auto"/>
        </w:rPr>
        <w:t>（一）对于从其他主体获取的投标资料，</w:t>
      </w:r>
      <w:r>
        <w:rPr>
          <w:rFonts w:hint="default" w:ascii="Times New Roman" w:hAnsi="Times New Roman" w:cs="Times New Roman"/>
          <w:color w:val="auto"/>
          <w:lang w:eastAsia="zh-CN"/>
        </w:rPr>
        <w:t>我</w:t>
      </w:r>
      <w:r>
        <w:rPr>
          <w:rFonts w:hint="default" w:ascii="Times New Roman" w:hAnsi="Times New Roman" w:cs="Times New Roman"/>
          <w:color w:val="auto"/>
          <w:lang w:val="en-US" w:eastAsia="zh-CN"/>
        </w:rPr>
        <w:t>单位</w:t>
      </w:r>
      <w:r>
        <w:rPr>
          <w:rFonts w:hint="default" w:ascii="Times New Roman" w:hAnsi="Times New Roman" w:cs="Times New Roman"/>
          <w:color w:val="auto"/>
        </w:rPr>
        <w:t>应审慎核查，确保</w:t>
      </w:r>
      <w:r>
        <w:rPr>
          <w:rFonts w:hint="default" w:ascii="Times New Roman" w:hAnsi="Times New Roman" w:cs="Times New Roman"/>
          <w:color w:val="auto"/>
          <w:lang w:eastAsia="zh-CN"/>
        </w:rPr>
        <w:t>其</w:t>
      </w:r>
      <w:r>
        <w:rPr>
          <w:rFonts w:hint="default" w:ascii="Times New Roman" w:hAnsi="Times New Roman" w:cs="Times New Roman"/>
          <w:color w:val="auto"/>
        </w:rPr>
        <w:t>真实性。</w:t>
      </w:r>
      <w:r>
        <w:rPr>
          <w:rFonts w:hint="default" w:ascii="Times New Roman" w:hAnsi="Times New Roman" w:cs="Times New Roman"/>
          <w:b/>
          <w:color w:val="auto"/>
        </w:rPr>
        <w:t>如主管部门查实投标文件中存在虚假资料的，无论相关资料是否由第三方或本公司员工提供，均不影响主管部门对供应商存在“隐瞒真实情况，提供虚假资料”违法行为的认定。</w:t>
      </w:r>
    </w:p>
    <w:p w14:paraId="428A97BA">
      <w:pPr>
        <w:spacing w:beforeLines="0" w:line="340" w:lineRule="exact"/>
        <w:ind w:firstLine="420" w:firstLineChars="200"/>
        <w:rPr>
          <w:rFonts w:hint="default" w:ascii="Times New Roman" w:hAnsi="Times New Roman" w:cs="Times New Roman"/>
          <w:color w:val="auto"/>
        </w:rPr>
      </w:pPr>
      <w:r>
        <w:rPr>
          <w:rFonts w:hint="default" w:ascii="Times New Roman" w:hAnsi="Times New Roman" w:cs="Times New Roman"/>
          <w:color w:val="auto"/>
        </w:rPr>
        <w:t>（二）对于涉及国家机关出具的公文、证件、证明材料等文件，一旦涉嫌虚假，经查实，主管部门将依法从严处理，并移送有关部门追究法律责任；涉嫌犯罪的，移送司法机关</w:t>
      </w:r>
      <w:r>
        <w:rPr>
          <w:rFonts w:hint="default" w:ascii="Times New Roman" w:hAnsi="Times New Roman" w:cs="Times New Roman"/>
          <w:color w:val="auto"/>
          <w:lang w:eastAsia="zh-CN"/>
        </w:rPr>
        <w:t>处理</w:t>
      </w:r>
      <w:r>
        <w:rPr>
          <w:rFonts w:hint="default" w:ascii="Times New Roman" w:hAnsi="Times New Roman" w:cs="Times New Roman"/>
          <w:color w:val="auto"/>
        </w:rPr>
        <w:t>。</w:t>
      </w:r>
    </w:p>
    <w:p w14:paraId="6F47249A">
      <w:pPr>
        <w:spacing w:beforeLines="0" w:line="340" w:lineRule="exact"/>
        <w:ind w:firstLine="420" w:firstLineChars="200"/>
        <w:rPr>
          <w:rFonts w:hint="default" w:ascii="Times New Roman" w:hAnsi="Times New Roman" w:cs="Times New Roman"/>
          <w:color w:val="auto"/>
        </w:rPr>
      </w:pPr>
      <w:r>
        <w:rPr>
          <w:rFonts w:hint="default" w:ascii="Times New Roman" w:hAnsi="Times New Roman" w:cs="Times New Roman"/>
          <w:color w:val="auto"/>
        </w:rPr>
        <w:t>（</w:t>
      </w:r>
      <w:r>
        <w:rPr>
          <w:rFonts w:hint="default" w:ascii="Times New Roman" w:hAnsi="Times New Roman" w:cs="Times New Roman"/>
          <w:color w:val="auto"/>
          <w:lang w:eastAsia="zh-CN"/>
        </w:rPr>
        <w:t>三</w:t>
      </w:r>
      <w:r>
        <w:rPr>
          <w:rFonts w:hint="default" w:ascii="Times New Roman" w:hAnsi="Times New Roman" w:cs="Times New Roman"/>
          <w:color w:val="auto"/>
        </w:rPr>
        <w:t>）</w:t>
      </w:r>
      <w:r>
        <w:rPr>
          <w:rFonts w:hint="default" w:ascii="Times New Roman" w:hAnsi="Times New Roman" w:cs="Times New Roman"/>
          <w:color w:val="auto"/>
          <w:lang w:eastAsia="zh-CN"/>
        </w:rPr>
        <w:t>我</w:t>
      </w:r>
      <w:r>
        <w:rPr>
          <w:rFonts w:hint="default" w:ascii="Times New Roman" w:hAnsi="Times New Roman" w:cs="Times New Roman"/>
          <w:color w:val="auto"/>
          <w:lang w:val="en-US" w:eastAsia="zh-CN"/>
        </w:rPr>
        <w:t>单位</w:t>
      </w:r>
      <w:r>
        <w:rPr>
          <w:rFonts w:hint="default" w:ascii="Times New Roman" w:hAnsi="Times New Roman" w:cs="Times New Roman"/>
          <w:color w:val="auto"/>
        </w:rPr>
        <w:t>对投标电子密钥</w:t>
      </w:r>
      <w:r>
        <w:rPr>
          <w:rFonts w:hint="default" w:ascii="Times New Roman" w:hAnsi="Times New Roman" w:cs="Times New Roman"/>
          <w:color w:val="auto"/>
          <w:lang w:eastAsia="zh-CN"/>
        </w:rPr>
        <w:t>或</w:t>
      </w:r>
      <w:r>
        <w:rPr>
          <w:rFonts w:hint="default" w:ascii="Times New Roman" w:hAnsi="Times New Roman" w:cs="Times New Roman"/>
          <w:color w:val="auto"/>
          <w:lang w:val="en-US" w:eastAsia="zh-CN"/>
        </w:rPr>
        <w:t>电子营业执照</w:t>
      </w:r>
      <w:r>
        <w:rPr>
          <w:rFonts w:hint="default" w:ascii="Times New Roman" w:hAnsi="Times New Roman" w:cs="Times New Roman"/>
          <w:color w:val="auto"/>
        </w:rPr>
        <w:t>负有妥善保管、及时变更和续期等主体责任</w:t>
      </w:r>
      <w:r>
        <w:rPr>
          <w:rFonts w:hint="default" w:ascii="Times New Roman" w:hAnsi="Times New Roman" w:cs="Times New Roman"/>
          <w:color w:val="auto"/>
          <w:lang w:eastAsia="zh-CN"/>
        </w:rPr>
        <w:t>；</w:t>
      </w:r>
      <w:r>
        <w:rPr>
          <w:rFonts w:hint="default" w:ascii="Times New Roman" w:hAnsi="Times New Roman" w:cs="Times New Roman"/>
          <w:color w:val="auto"/>
        </w:rPr>
        <w:t>使用电子密钥</w:t>
      </w:r>
      <w:r>
        <w:rPr>
          <w:rFonts w:hint="default" w:ascii="Times New Roman" w:hAnsi="Times New Roman" w:cs="Times New Roman"/>
          <w:color w:val="auto"/>
          <w:lang w:eastAsia="zh-CN"/>
        </w:rPr>
        <w:t>或</w:t>
      </w:r>
      <w:r>
        <w:rPr>
          <w:rFonts w:hint="default" w:ascii="Times New Roman" w:hAnsi="Times New Roman" w:cs="Times New Roman"/>
          <w:color w:val="auto"/>
          <w:lang w:val="en-US" w:eastAsia="zh-CN"/>
        </w:rPr>
        <w:t>电子营业执照</w:t>
      </w:r>
      <w:r>
        <w:rPr>
          <w:rFonts w:hint="default" w:ascii="Times New Roman" w:hAnsi="Times New Roman" w:cs="Times New Roman"/>
          <w:color w:val="auto"/>
        </w:rPr>
        <w:t>在深圳政府采购网站进行的活动，均具有法律效力，须承担相应的法律后果。</w:t>
      </w:r>
      <w:r>
        <w:rPr>
          <w:rFonts w:hint="default" w:ascii="Times New Roman" w:hAnsi="Times New Roman" w:cs="Times New Roman"/>
          <w:color w:val="auto"/>
          <w:lang w:eastAsia="zh-CN"/>
        </w:rPr>
        <w:t>若</w:t>
      </w:r>
      <w:r>
        <w:rPr>
          <w:rFonts w:hint="default" w:ascii="Times New Roman" w:hAnsi="Times New Roman" w:cs="Times New Roman"/>
          <w:b/>
          <w:bCs/>
          <w:color w:val="auto"/>
        </w:rPr>
        <w:t>擅自将投标密钥</w:t>
      </w:r>
      <w:r>
        <w:rPr>
          <w:rFonts w:hint="default" w:ascii="Times New Roman" w:hAnsi="Times New Roman" w:cs="Times New Roman"/>
          <w:b/>
          <w:bCs/>
          <w:color w:val="auto"/>
          <w:lang w:eastAsia="zh-CN"/>
        </w:rPr>
        <w:t>或</w:t>
      </w:r>
      <w:r>
        <w:rPr>
          <w:rFonts w:hint="default" w:ascii="Times New Roman" w:hAnsi="Times New Roman" w:cs="Times New Roman"/>
          <w:b/>
          <w:bCs/>
          <w:color w:val="auto"/>
          <w:lang w:val="en-US" w:eastAsia="zh-CN"/>
        </w:rPr>
        <w:t>电子营业执照</w:t>
      </w:r>
      <w:r>
        <w:rPr>
          <w:rFonts w:hint="default" w:ascii="Times New Roman" w:hAnsi="Times New Roman" w:cs="Times New Roman"/>
          <w:b/>
          <w:bCs/>
          <w:color w:val="auto"/>
        </w:rPr>
        <w:t>出借他人使用所造成的法律后果，由</w:t>
      </w:r>
      <w:r>
        <w:rPr>
          <w:rFonts w:hint="default" w:ascii="Times New Roman" w:hAnsi="Times New Roman" w:cs="Times New Roman"/>
          <w:b/>
          <w:bCs/>
          <w:color w:val="auto"/>
          <w:lang w:eastAsia="zh-CN"/>
        </w:rPr>
        <w:t>我</w:t>
      </w:r>
      <w:r>
        <w:rPr>
          <w:rFonts w:hint="default" w:ascii="Times New Roman" w:hAnsi="Times New Roman" w:cs="Times New Roman"/>
          <w:b/>
          <w:bCs/>
          <w:color w:val="auto"/>
          <w:lang w:val="en-US" w:eastAsia="zh-CN"/>
        </w:rPr>
        <w:t>单位</w:t>
      </w:r>
      <w:r>
        <w:rPr>
          <w:rFonts w:hint="default" w:ascii="Times New Roman" w:hAnsi="Times New Roman" w:cs="Times New Roman"/>
          <w:b/>
          <w:bCs/>
          <w:color w:val="auto"/>
        </w:rPr>
        <w:t>自行承担</w:t>
      </w:r>
      <w:r>
        <w:rPr>
          <w:rFonts w:hint="default" w:ascii="Times New Roman" w:hAnsi="Times New Roman" w:cs="Times New Roman"/>
          <w:color w:val="auto"/>
        </w:rPr>
        <w:t>。</w:t>
      </w:r>
    </w:p>
    <w:p w14:paraId="1EA66EFB">
      <w:pPr>
        <w:spacing w:beforeLines="0" w:line="340" w:lineRule="exact"/>
        <w:ind w:firstLine="422" w:firstLineChars="200"/>
        <w:rPr>
          <w:rFonts w:hint="default" w:ascii="Times New Roman" w:hAnsi="Times New Roman" w:cs="Times New Roman"/>
          <w:b/>
          <w:color w:val="auto"/>
        </w:rPr>
      </w:pPr>
      <w:r>
        <w:rPr>
          <w:rFonts w:hint="default" w:ascii="Times New Roman" w:hAnsi="Times New Roman" w:cs="Times New Roman"/>
          <w:b/>
          <w:color w:val="auto"/>
        </w:rPr>
        <w:t>四、</w:t>
      </w:r>
      <w:r>
        <w:rPr>
          <w:rFonts w:hint="default" w:ascii="Times New Roman" w:hAnsi="Times New Roman" w:cs="Times New Roman"/>
          <w:b/>
          <w:color w:val="auto"/>
          <w:lang w:eastAsia="zh-CN"/>
        </w:rPr>
        <w:t>我</w:t>
      </w:r>
      <w:r>
        <w:rPr>
          <w:rFonts w:hint="default" w:ascii="Times New Roman" w:hAnsi="Times New Roman" w:cs="Times New Roman"/>
          <w:b/>
          <w:color w:val="auto"/>
          <w:lang w:val="en-US" w:eastAsia="zh-CN"/>
        </w:rPr>
        <w:t>单位</w:t>
      </w:r>
      <w:r>
        <w:rPr>
          <w:rFonts w:hint="default" w:ascii="Times New Roman" w:hAnsi="Times New Roman" w:cs="Times New Roman"/>
          <w:b/>
          <w:color w:val="auto"/>
        </w:rPr>
        <w:t>已充分知悉政府采购违法、违规行为的法律</w:t>
      </w:r>
      <w:r>
        <w:rPr>
          <w:rFonts w:hint="default" w:ascii="Times New Roman" w:hAnsi="Times New Roman" w:cs="Times New Roman"/>
          <w:b/>
          <w:color w:val="auto"/>
          <w:highlight w:val="none"/>
        </w:rPr>
        <w:t>后果。</w:t>
      </w:r>
    </w:p>
    <w:p w14:paraId="5F4C7DCD">
      <w:pPr>
        <w:spacing w:beforeLines="0" w:line="340" w:lineRule="exact"/>
        <w:ind w:firstLine="420" w:firstLineChars="200"/>
        <w:rPr>
          <w:rFonts w:hint="default" w:ascii="Times New Roman" w:hAnsi="Times New Roman" w:cs="Times New Roman"/>
          <w:color w:val="auto"/>
          <w:highlight w:val="none"/>
        </w:rPr>
      </w:pPr>
      <w:r>
        <w:rPr>
          <w:rFonts w:hint="default" w:ascii="Times New Roman" w:hAnsi="Times New Roman" w:cs="Times New Roman"/>
          <w:color w:val="auto"/>
        </w:rPr>
        <w:t>经查实，若</w:t>
      </w:r>
      <w:r>
        <w:rPr>
          <w:rFonts w:hint="default" w:ascii="Times New Roman" w:hAnsi="Times New Roman" w:cs="Times New Roman"/>
          <w:color w:val="auto"/>
          <w:lang w:eastAsia="zh-CN"/>
        </w:rPr>
        <w:t>我</w:t>
      </w:r>
      <w:r>
        <w:rPr>
          <w:rFonts w:hint="default" w:ascii="Times New Roman" w:hAnsi="Times New Roman" w:cs="Times New Roman"/>
          <w:color w:val="auto"/>
          <w:lang w:val="en-US" w:eastAsia="zh-CN"/>
        </w:rPr>
        <w:t>单位</w:t>
      </w:r>
      <w:r>
        <w:rPr>
          <w:rFonts w:hint="default" w:ascii="Times New Roman" w:hAnsi="Times New Roman" w:cs="Times New Roman"/>
          <w:color w:val="auto"/>
        </w:rPr>
        <w:t>存在政府采购违法、违规行为，主管部门将依据《深圳经济特区政府采购条例》第五十七条的规定，处以一至三年内禁止参与本市政府采购，并记入供应商诚信档案，处采购金额千分之十以上千分之二十以下罚款；情节严重的，取消参与本市政府采购资格，处采购金额千</w:t>
      </w:r>
      <w:r>
        <w:rPr>
          <w:rFonts w:hint="default" w:ascii="Times New Roman" w:hAnsi="Times New Roman" w:cs="Times New Roman"/>
          <w:color w:val="auto"/>
          <w:highlight w:val="none"/>
        </w:rPr>
        <w:t>分之二十以上千分之三十以下罚款，由市场监管部门依法吊销营业执照。</w:t>
      </w:r>
    </w:p>
    <w:p w14:paraId="5BAF5130">
      <w:pPr>
        <w:spacing w:beforeLines="0" w:line="340" w:lineRule="exact"/>
        <w:ind w:firstLine="420" w:firstLineChars="200"/>
        <w:rPr>
          <w:rFonts w:hint="default" w:ascii="Times New Roman" w:hAnsi="Times New Roman" w:cs="Times New Roman"/>
          <w:color w:val="auto"/>
          <w:highlight w:val="none"/>
        </w:rPr>
      </w:pPr>
      <w:r>
        <w:rPr>
          <w:rFonts w:hint="default" w:ascii="Times New Roman" w:hAnsi="Times New Roman" w:cs="Times New Roman"/>
          <w:color w:val="auto"/>
          <w:highlight w:val="none"/>
        </w:rPr>
        <w:t>以下文字请投标供应商抄写并确认：“</w:t>
      </w:r>
      <w:r>
        <w:rPr>
          <w:rFonts w:hint="default" w:ascii="Times New Roman" w:hAnsi="Times New Roman" w:cs="Times New Roman"/>
          <w:color w:val="auto"/>
          <w:highlight w:val="none"/>
          <w:lang w:eastAsia="zh-CN"/>
        </w:rPr>
        <w:t>我</w:t>
      </w:r>
      <w:r>
        <w:rPr>
          <w:rFonts w:hint="default" w:ascii="Times New Roman" w:hAnsi="Times New Roman" w:cs="Times New Roman"/>
          <w:color w:val="auto"/>
          <w:lang w:val="en-US" w:eastAsia="zh-CN"/>
        </w:rPr>
        <w:t>单位</w:t>
      </w:r>
      <w:r>
        <w:rPr>
          <w:rFonts w:hint="default" w:ascii="Times New Roman" w:hAnsi="Times New Roman" w:cs="Times New Roman"/>
          <w:color w:val="auto"/>
          <w:highlight w:val="none"/>
        </w:rPr>
        <w:t>已仔细阅读《政府采购违法行为风险知悉确认书》，充分知悉违法行为的法律后果，并承诺将严谨、诚信、依法依规参与政府采购活动”。</w:t>
      </w:r>
    </w:p>
    <w:tbl>
      <w:tblPr>
        <w:tblStyle w:val="482"/>
        <w:tblW w:w="8529" w:type="dxa"/>
        <w:tblInd w:w="0" w:type="dxa"/>
        <w:tblBorders>
          <w:top w:val="none" w:color="auto" w:sz="0" w:space="0"/>
          <w:left w:val="none" w:color="auto" w:sz="0" w:space="0"/>
          <w:bottom w:val="single" w:color="auto" w:sz="4"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8529"/>
      </w:tblGrid>
      <w:tr w14:paraId="55F1AD5E">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4" w:hRule="atLeast"/>
        </w:trPr>
        <w:tc>
          <w:tcPr>
            <w:tcW w:w="8529" w:type="dxa"/>
            <w:tcBorders>
              <w:top w:val="nil"/>
              <w:left w:val="nil"/>
              <w:bottom w:val="single" w:color="000000" w:sz="8" w:space="0"/>
              <w:right w:val="nil"/>
            </w:tcBorders>
            <w:noWrap w:val="0"/>
            <w:vAlign w:val="top"/>
          </w:tcPr>
          <w:p w14:paraId="5BF9F634">
            <w:pPr>
              <w:autoSpaceDE w:val="0"/>
              <w:autoSpaceDN w:val="0"/>
              <w:spacing w:beforeLines="0" w:line="340" w:lineRule="exact"/>
              <w:ind w:firstLine="1866"/>
              <w:rPr>
                <w:rFonts w:hint="default" w:ascii="Times New Roman" w:hAnsi="Times New Roman" w:eastAsia="宋体" w:cs="Times New Roman"/>
                <w:color w:val="auto"/>
                <w:spacing w:val="-4"/>
                <w:kern w:val="0"/>
                <w:szCs w:val="21"/>
                <w:highlight w:val="none"/>
              </w:rPr>
            </w:pPr>
          </w:p>
        </w:tc>
      </w:tr>
      <w:tr w14:paraId="694641DD">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8529" w:type="dxa"/>
            <w:tcBorders>
              <w:top w:val="single" w:color="000000" w:sz="8" w:space="0"/>
              <w:left w:val="nil"/>
              <w:bottom w:val="single" w:color="000000" w:sz="8" w:space="0"/>
              <w:right w:val="nil"/>
            </w:tcBorders>
            <w:noWrap w:val="0"/>
            <w:vAlign w:val="top"/>
          </w:tcPr>
          <w:p w14:paraId="20E4F632">
            <w:pPr>
              <w:autoSpaceDE w:val="0"/>
              <w:autoSpaceDN w:val="0"/>
              <w:spacing w:beforeLines="0" w:line="340" w:lineRule="exact"/>
              <w:ind w:firstLine="1866"/>
              <w:rPr>
                <w:rFonts w:hint="default" w:ascii="Times New Roman" w:hAnsi="Times New Roman" w:eastAsia="宋体" w:cs="Times New Roman"/>
                <w:color w:val="auto"/>
                <w:spacing w:val="-4"/>
                <w:kern w:val="0"/>
                <w:szCs w:val="21"/>
              </w:rPr>
            </w:pPr>
          </w:p>
        </w:tc>
      </w:tr>
      <w:tr w14:paraId="64FAA985">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8529" w:type="dxa"/>
            <w:tcBorders>
              <w:top w:val="single" w:color="000000" w:sz="8" w:space="0"/>
              <w:left w:val="nil"/>
              <w:bottom w:val="single" w:color="000000" w:sz="8" w:space="0"/>
              <w:right w:val="nil"/>
            </w:tcBorders>
            <w:noWrap w:val="0"/>
            <w:vAlign w:val="top"/>
          </w:tcPr>
          <w:p w14:paraId="2C92146A">
            <w:pPr>
              <w:autoSpaceDE w:val="0"/>
              <w:autoSpaceDN w:val="0"/>
              <w:spacing w:beforeLines="0" w:line="340" w:lineRule="exact"/>
              <w:ind w:firstLine="1866"/>
              <w:rPr>
                <w:rFonts w:hint="default" w:ascii="Times New Roman" w:hAnsi="Times New Roman" w:eastAsia="宋体" w:cs="Times New Roman"/>
                <w:color w:val="auto"/>
                <w:spacing w:val="-4"/>
                <w:kern w:val="0"/>
                <w:szCs w:val="21"/>
              </w:rPr>
            </w:pPr>
          </w:p>
        </w:tc>
      </w:tr>
      <w:tr w14:paraId="541B01D4">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8529" w:type="dxa"/>
            <w:tcBorders>
              <w:top w:val="single" w:color="000000" w:sz="8" w:space="0"/>
              <w:left w:val="nil"/>
              <w:bottom w:val="single" w:color="auto" w:sz="8" w:space="0"/>
              <w:right w:val="nil"/>
            </w:tcBorders>
            <w:noWrap w:val="0"/>
            <w:vAlign w:val="top"/>
          </w:tcPr>
          <w:p w14:paraId="33355545">
            <w:pPr>
              <w:autoSpaceDE w:val="0"/>
              <w:autoSpaceDN w:val="0"/>
              <w:spacing w:beforeLines="0" w:line="340" w:lineRule="exact"/>
              <w:ind w:firstLine="1866"/>
              <w:rPr>
                <w:rFonts w:hint="default" w:ascii="Times New Roman" w:hAnsi="Times New Roman" w:eastAsia="宋体" w:cs="Times New Roman"/>
                <w:color w:val="auto"/>
                <w:spacing w:val="-4"/>
                <w:kern w:val="0"/>
                <w:szCs w:val="21"/>
              </w:rPr>
            </w:pPr>
          </w:p>
        </w:tc>
      </w:tr>
    </w:tbl>
    <w:p w14:paraId="694C2BC1">
      <w:pPr>
        <w:widowControl/>
        <w:wordWrap w:val="0"/>
        <w:autoSpaceDE w:val="0"/>
        <w:autoSpaceDN w:val="0"/>
        <w:spacing w:beforeLines="0" w:line="340" w:lineRule="exact"/>
        <w:ind w:right="808" w:firstLine="404" w:firstLineChars="200"/>
        <w:jc w:val="right"/>
        <w:rPr>
          <w:rFonts w:hint="default" w:ascii="Times New Roman" w:hAnsi="Times New Roman" w:eastAsia="宋体" w:cs="Times New Roman"/>
          <w:color w:val="auto"/>
          <w:spacing w:val="-4"/>
          <w:kern w:val="0"/>
          <w:szCs w:val="21"/>
        </w:rPr>
      </w:pPr>
    </w:p>
    <w:p w14:paraId="77A0F627">
      <w:pPr>
        <w:widowControl/>
        <w:wordWrap w:val="0"/>
        <w:autoSpaceDE w:val="0"/>
        <w:autoSpaceDN w:val="0"/>
        <w:spacing w:beforeLines="0" w:line="340" w:lineRule="exact"/>
        <w:ind w:right="808" w:firstLine="404" w:firstLineChars="200"/>
        <w:jc w:val="right"/>
        <w:rPr>
          <w:rFonts w:hint="default" w:ascii="Times New Roman" w:hAnsi="Times New Roman" w:eastAsia="宋体" w:cs="Times New Roman"/>
          <w:color w:val="auto"/>
          <w:spacing w:val="-4"/>
          <w:kern w:val="0"/>
          <w:szCs w:val="21"/>
          <w:u w:val="single"/>
        </w:rPr>
      </w:pPr>
      <w:r>
        <w:rPr>
          <w:rFonts w:hint="default" w:ascii="Times New Roman" w:hAnsi="Times New Roman" w:eastAsia="宋体" w:cs="Times New Roman"/>
          <w:color w:val="auto"/>
          <w:spacing w:val="-4"/>
          <w:kern w:val="0"/>
          <w:szCs w:val="21"/>
          <w:lang w:eastAsia="zh-CN"/>
        </w:rPr>
        <w:t>单位</w:t>
      </w:r>
      <w:r>
        <w:rPr>
          <w:rFonts w:hint="default" w:ascii="Times New Roman" w:hAnsi="Times New Roman" w:eastAsia="宋体" w:cs="Times New Roman"/>
          <w:color w:val="auto"/>
          <w:spacing w:val="-4"/>
          <w:kern w:val="0"/>
          <w:szCs w:val="21"/>
        </w:rPr>
        <w:t>负责人签名：</w:t>
      </w:r>
      <w:r>
        <w:rPr>
          <w:rFonts w:hint="default" w:ascii="Times New Roman" w:hAnsi="Times New Roman" w:eastAsia="宋体" w:cs="Times New Roman"/>
          <w:color w:val="auto"/>
          <w:spacing w:val="-4"/>
          <w:kern w:val="0"/>
          <w:szCs w:val="21"/>
          <w:u w:val="single"/>
        </w:rPr>
        <w:t xml:space="preserve">              </w:t>
      </w:r>
    </w:p>
    <w:p w14:paraId="57DEEE1D">
      <w:pPr>
        <w:widowControl/>
        <w:wordWrap w:val="0"/>
        <w:autoSpaceDE w:val="0"/>
        <w:autoSpaceDN w:val="0"/>
        <w:spacing w:beforeLines="0" w:line="340" w:lineRule="exact"/>
        <w:ind w:right="808" w:firstLine="404" w:firstLineChars="200"/>
        <w:jc w:val="center"/>
        <w:rPr>
          <w:rFonts w:hint="default" w:ascii="Times New Roman" w:hAnsi="Times New Roman" w:eastAsia="宋体" w:cs="Times New Roman"/>
          <w:color w:val="auto"/>
          <w:spacing w:val="-4"/>
          <w:kern w:val="0"/>
          <w:szCs w:val="21"/>
          <w:u w:val="single"/>
        </w:rPr>
      </w:pPr>
      <w:r>
        <w:rPr>
          <w:rFonts w:hint="default" w:ascii="Times New Roman" w:hAnsi="Times New Roman" w:eastAsia="宋体" w:cs="Times New Roman"/>
          <w:color w:val="auto"/>
          <w:spacing w:val="-4"/>
          <w:kern w:val="0"/>
          <w:szCs w:val="21"/>
          <w:lang w:val="en-US" w:eastAsia="zh-CN"/>
        </w:rPr>
        <w:t xml:space="preserve">                                 </w:t>
      </w:r>
      <w:r>
        <w:rPr>
          <w:rFonts w:hint="default" w:ascii="Times New Roman" w:hAnsi="Times New Roman" w:eastAsia="宋体" w:cs="Times New Roman"/>
          <w:color w:val="auto"/>
          <w:spacing w:val="-4"/>
          <w:kern w:val="0"/>
          <w:szCs w:val="21"/>
          <w:lang w:eastAsia="zh-CN"/>
        </w:rPr>
        <w:t>（加盖</w:t>
      </w:r>
      <w:r>
        <w:rPr>
          <w:rFonts w:hint="default" w:ascii="Times New Roman" w:hAnsi="Times New Roman" w:eastAsia="宋体" w:cs="Times New Roman"/>
          <w:color w:val="auto"/>
          <w:spacing w:val="-4"/>
          <w:kern w:val="0"/>
          <w:szCs w:val="21"/>
        </w:rPr>
        <w:t>公章</w:t>
      </w:r>
      <w:r>
        <w:rPr>
          <w:rFonts w:hint="default" w:ascii="Times New Roman" w:hAnsi="Times New Roman" w:eastAsia="宋体" w:cs="Times New Roman"/>
          <w:color w:val="auto"/>
          <w:spacing w:val="-4"/>
          <w:kern w:val="0"/>
          <w:szCs w:val="21"/>
          <w:lang w:eastAsia="zh-CN"/>
        </w:rPr>
        <w:t>）</w:t>
      </w:r>
    </w:p>
    <w:p w14:paraId="16576462">
      <w:pPr>
        <w:widowControl/>
        <w:wordWrap w:val="0"/>
        <w:autoSpaceDE w:val="0"/>
        <w:autoSpaceDN w:val="0"/>
        <w:spacing w:beforeLines="0" w:line="340" w:lineRule="exact"/>
        <w:ind w:right="808" w:firstLine="404" w:firstLineChars="200"/>
        <w:jc w:val="right"/>
        <w:rPr>
          <w:rFonts w:hint="default" w:ascii="Times New Roman" w:hAnsi="Times New Roman" w:eastAsia="宋体" w:cs="Times New Roman"/>
          <w:color w:val="auto"/>
          <w:spacing w:val="-4"/>
          <w:kern w:val="0"/>
          <w:szCs w:val="21"/>
          <w:u w:val="single"/>
        </w:rPr>
      </w:pPr>
      <w:r>
        <w:rPr>
          <w:rFonts w:hint="default" w:ascii="Times New Roman" w:hAnsi="Times New Roman" w:eastAsia="宋体" w:cs="Times New Roman"/>
          <w:color w:val="auto"/>
          <w:spacing w:val="-4"/>
          <w:kern w:val="0"/>
          <w:szCs w:val="21"/>
        </w:rPr>
        <w:t xml:space="preserve">     日期：</w:t>
      </w:r>
      <w:r>
        <w:rPr>
          <w:rFonts w:hint="default" w:ascii="Times New Roman" w:hAnsi="Times New Roman" w:eastAsia="宋体" w:cs="Times New Roman"/>
          <w:color w:val="auto"/>
          <w:spacing w:val="-4"/>
          <w:kern w:val="0"/>
          <w:szCs w:val="21"/>
          <w:u w:val="single"/>
        </w:rPr>
        <w:t xml:space="preserve">              </w:t>
      </w:r>
    </w:p>
    <w:p w14:paraId="4FFDD112">
      <w:pPr>
        <w:widowControl/>
        <w:autoSpaceDE w:val="0"/>
        <w:autoSpaceDN w:val="0"/>
        <w:spacing w:beforeLines="0" w:line="340" w:lineRule="exact"/>
        <w:ind w:firstLine="406" w:firstLineChars="200"/>
        <w:jc w:val="left"/>
        <w:rPr>
          <w:rFonts w:hint="default" w:ascii="Times New Roman" w:hAnsi="Times New Roman" w:eastAsia="宋体" w:cs="Times New Roman"/>
          <w:b/>
          <w:bCs/>
          <w:color w:val="auto"/>
          <w:spacing w:val="-4"/>
          <w:kern w:val="0"/>
          <w:szCs w:val="21"/>
        </w:rPr>
      </w:pPr>
    </w:p>
    <w:p w14:paraId="2110F471">
      <w:pPr>
        <w:keepNext w:val="0"/>
        <w:keepLines w:val="0"/>
        <w:pageBreakBefore w:val="0"/>
        <w:widowControl/>
        <w:suppressLineNumbers w:val="0"/>
        <w:kinsoku/>
        <w:wordWrap/>
        <w:overflowPunct/>
        <w:topLinePunct w:val="0"/>
        <w:autoSpaceDE w:val="0"/>
        <w:autoSpaceDN w:val="0"/>
        <w:bidi w:val="0"/>
        <w:adjustRightInd/>
        <w:snapToGrid/>
        <w:spacing w:beforeLines="0" w:line="340" w:lineRule="exact"/>
        <w:ind w:firstLine="406" w:firstLineChars="200"/>
        <w:jc w:val="left"/>
        <w:textAlignment w:val="auto"/>
        <w:rPr>
          <w:rFonts w:hint="default" w:ascii="Times New Roman" w:hAnsi="Times New Roman" w:eastAsia="FangSong_GB2312" w:cs="Times New Roman"/>
          <w:sz w:val="24"/>
          <w:szCs w:val="24"/>
          <w:lang w:eastAsia="zh-CN"/>
        </w:rPr>
      </w:pPr>
      <w:r>
        <w:rPr>
          <w:rFonts w:hint="default" w:ascii="Times New Roman" w:hAnsi="Times New Roman" w:eastAsia="宋体" w:cs="Times New Roman"/>
          <w:b/>
          <w:bCs/>
          <w:color w:val="auto"/>
          <w:spacing w:val="-4"/>
          <w:kern w:val="0"/>
          <w:szCs w:val="21"/>
        </w:rPr>
        <w:t>注：</w:t>
      </w:r>
      <w:r>
        <w:rPr>
          <w:rFonts w:hint="default" w:ascii="Times New Roman" w:hAnsi="Times New Roman" w:eastAsia="宋体" w:cs="Times New Roman"/>
          <w:b/>
          <w:bCs/>
          <w:color w:val="auto"/>
          <w:spacing w:val="-4"/>
          <w:kern w:val="0"/>
          <w:szCs w:val="21"/>
          <w:lang w:eastAsia="zh-CN"/>
        </w:rPr>
        <w:t>《</w:t>
      </w:r>
      <w:r>
        <w:rPr>
          <w:rFonts w:hint="default" w:ascii="Times New Roman" w:hAnsi="Times New Roman" w:eastAsia="宋体" w:cs="Times New Roman"/>
          <w:b/>
          <w:bCs/>
          <w:color w:val="auto"/>
          <w:spacing w:val="-4"/>
          <w:kern w:val="0"/>
          <w:szCs w:val="21"/>
          <w:lang w:val="en-US" w:eastAsia="zh-CN"/>
        </w:rPr>
        <w:t>政府采购违法行为风险知悉确认书</w:t>
      </w:r>
      <w:r>
        <w:rPr>
          <w:rFonts w:hint="default" w:ascii="Times New Roman" w:hAnsi="Times New Roman" w:eastAsia="宋体" w:cs="Times New Roman"/>
          <w:b/>
          <w:bCs/>
          <w:color w:val="auto"/>
          <w:spacing w:val="-4"/>
          <w:kern w:val="0"/>
          <w:szCs w:val="21"/>
          <w:lang w:eastAsia="zh-CN"/>
        </w:rPr>
        <w:t>》需由</w:t>
      </w:r>
      <w:r>
        <w:rPr>
          <w:rFonts w:hint="default" w:ascii="Times New Roman" w:hAnsi="Times New Roman" w:eastAsia="宋体" w:cs="Times New Roman"/>
          <w:b/>
          <w:bCs/>
          <w:color w:val="auto"/>
          <w:spacing w:val="-4"/>
          <w:kern w:val="0"/>
          <w:szCs w:val="21"/>
          <w:highlight w:val="none"/>
        </w:rPr>
        <w:t>投标供应商负责人签字并加盖单位公章后，扫描上传至投标文件一并提交。</w:t>
      </w:r>
      <w:r>
        <w:rPr>
          <w:rFonts w:hint="default" w:ascii="Times New Roman" w:hAnsi="Times New Roman" w:eastAsia="FangSong_GB2312" w:cs="Times New Roman"/>
          <w:sz w:val="24"/>
          <w:szCs w:val="24"/>
          <w:lang w:eastAsia="zh-CN"/>
        </w:rPr>
        <w:t>根据《深圳市财政局关于采购文件增加风险告知有关事项的通知》（深财购〔2022〕22 号），该风险知悉确认书用于对供应商违法行为的警示，不作为供应商资格性审查及符合性审查条件。</w:t>
      </w:r>
    </w:p>
    <w:p w14:paraId="0ADF0D72">
      <w:pPr>
        <w:rPr>
          <w:rFonts w:hint="default" w:ascii="Times New Roman" w:hAnsi="Times New Roman" w:eastAsia="宋体" w:cs="Times New Roman"/>
          <w:b w:val="0"/>
          <w:sz w:val="24"/>
          <w:szCs w:val="24"/>
          <w:highlight w:val="none"/>
        </w:rPr>
      </w:pPr>
    </w:p>
    <w:p w14:paraId="46E78539">
      <w:pPr>
        <w:pStyle w:val="5"/>
        <w:pageBreakBefore w:val="0"/>
        <w:kinsoku/>
        <w:overflowPunct/>
        <w:topLinePunct w:val="0"/>
        <w:autoSpaceDE/>
        <w:autoSpaceDN/>
        <w:bidi w:val="0"/>
        <w:spacing w:before="0" w:beforeAutospacing="0" w:after="0" w:afterAutospacing="0" w:line="360" w:lineRule="auto"/>
        <w:ind w:left="0" w:leftChars="0" w:right="0" w:firstLine="0" w:firstLineChars="0"/>
        <w:jc w:val="center"/>
        <w:rPr>
          <w:rFonts w:hint="default" w:ascii="Times New Roman" w:hAnsi="Times New Roman" w:eastAsia="宋体" w:cs="Times New Roman"/>
          <w:b/>
          <w:bCs w:val="0"/>
          <w:sz w:val="32"/>
          <w:szCs w:val="40"/>
          <w:highlight w:val="none"/>
        </w:rPr>
      </w:pPr>
      <w:r>
        <w:rPr>
          <w:rFonts w:hint="default" w:ascii="Times New Roman" w:hAnsi="Times New Roman" w:cs="Times New Roman"/>
          <w:b/>
          <w:bCs w:val="0"/>
          <w:sz w:val="32"/>
          <w:szCs w:val="40"/>
          <w:highlight w:val="none"/>
          <w:lang w:val="en-US" w:eastAsia="zh-CN"/>
        </w:rPr>
        <w:t>四</w:t>
      </w:r>
      <w:r>
        <w:rPr>
          <w:rFonts w:hint="default" w:ascii="Times New Roman" w:hAnsi="Times New Roman" w:eastAsia="宋体" w:cs="Times New Roman"/>
          <w:b/>
          <w:bCs w:val="0"/>
          <w:sz w:val="32"/>
          <w:szCs w:val="40"/>
          <w:highlight w:val="none"/>
        </w:rPr>
        <w:t>、投标人资格证明文件</w:t>
      </w:r>
    </w:p>
    <w:p w14:paraId="42CB3DBC">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bCs/>
          <w:sz w:val="24"/>
          <w:highlight w:val="none"/>
        </w:rPr>
      </w:pPr>
    </w:p>
    <w:p w14:paraId="00CCBBEB">
      <w:pPr>
        <w:pageBreakBefore w:val="0"/>
        <w:kinsoku/>
        <w:overflowPunct/>
        <w:topLinePunct w:val="0"/>
        <w:autoSpaceDE/>
        <w:autoSpaceDN/>
        <w:bidi w:val="0"/>
        <w:spacing w:beforeAutospacing="0" w:afterAutospacing="0" w:line="360" w:lineRule="auto"/>
        <w:ind w:left="0" w:leftChars="0" w:right="0" w:firstLine="0" w:firstLineChars="0"/>
        <w:outlineLvl w:val="2"/>
        <w:rPr>
          <w:rFonts w:hint="default" w:ascii="Times New Roman" w:hAnsi="Times New Roman" w:eastAsia="宋体" w:cs="Times New Roman"/>
          <w:b/>
          <w:bCs w:val="0"/>
          <w:kern w:val="0"/>
          <w:sz w:val="32"/>
          <w:szCs w:val="40"/>
          <w:highlight w:val="yellow"/>
        </w:rPr>
      </w:pPr>
      <w:bookmarkStart w:id="55" w:name="_Hlk72257590"/>
      <w:r>
        <w:rPr>
          <w:rFonts w:hint="default" w:ascii="Times New Roman" w:hAnsi="Times New Roman" w:eastAsia="宋体" w:cs="Times New Roman"/>
          <w:b/>
          <w:bCs w:val="0"/>
          <w:kern w:val="0"/>
          <w:sz w:val="32"/>
          <w:szCs w:val="40"/>
          <w:highlight w:val="yellow"/>
        </w:rPr>
        <w:t>（一）投标人资格证明文件</w:t>
      </w:r>
    </w:p>
    <w:p w14:paraId="0C55CA1D">
      <w:pPr>
        <w:spacing w:before="120" w:beforeLines="50"/>
        <w:ind w:firstLine="422" w:firstLineChars="200"/>
        <w:rPr>
          <w:rFonts w:hint="default" w:ascii="Times New Roman" w:hAnsi="Times New Roman" w:eastAsia="宋体" w:cs="Times New Roman"/>
          <w:b/>
          <w:bCs/>
          <w:color w:val="FF0000"/>
          <w:highlight w:val="none"/>
        </w:rPr>
      </w:pPr>
      <w:r>
        <w:rPr>
          <w:rFonts w:hint="default" w:ascii="Times New Roman" w:hAnsi="Times New Roman" w:eastAsia="宋体" w:cs="Times New Roman"/>
          <w:b/>
          <w:bCs/>
          <w:color w:val="FF0000"/>
          <w:highlight w:val="none"/>
        </w:rPr>
        <w:t>特别提示：投标人须按本招标文件第一册第一章招标公告 “申请人的资格要求”（即投标人资格要求）提供相关的资格证明资料，未提供或提供不完整、不符合要求的，将作投标无效处理。</w:t>
      </w:r>
    </w:p>
    <w:p w14:paraId="6815097F">
      <w:pPr>
        <w:spacing w:before="120" w:beforeLines="50"/>
        <w:ind w:firstLine="422" w:firstLineChars="200"/>
        <w:rPr>
          <w:rFonts w:hint="default" w:ascii="Times New Roman" w:hAnsi="Times New Roman" w:eastAsia="宋体" w:cs="Times New Roman"/>
          <w:b/>
          <w:bCs/>
          <w:color w:val="FF0000"/>
          <w:lang w:eastAsia="zh-CN"/>
        </w:rPr>
      </w:pPr>
      <w:r>
        <w:rPr>
          <w:rFonts w:hint="default" w:ascii="Times New Roman" w:hAnsi="Times New Roman" w:eastAsia="宋体" w:cs="Times New Roman"/>
          <w:b/>
          <w:bCs/>
          <w:color w:val="FF0000"/>
        </w:rPr>
        <w:t>其中</w:t>
      </w:r>
      <w:r>
        <w:rPr>
          <w:rFonts w:hint="default" w:ascii="Times New Roman" w:hAnsi="Times New Roman" w:eastAsia="宋体" w:cs="Times New Roman"/>
          <w:b/>
          <w:bCs/>
          <w:color w:val="FF0000"/>
          <w:lang w:val="en-US" w:eastAsia="zh-CN"/>
        </w:rPr>
        <w:t>按</w:t>
      </w:r>
      <w:r>
        <w:rPr>
          <w:rFonts w:hint="default" w:ascii="Times New Roman" w:hAnsi="Times New Roman" w:eastAsia="宋体" w:cs="Times New Roman"/>
          <w:b/>
          <w:bCs/>
          <w:color w:val="FF0000"/>
        </w:rPr>
        <w:t>要求已</w:t>
      </w:r>
      <w:r>
        <w:rPr>
          <w:rFonts w:hint="default" w:ascii="Times New Roman" w:hAnsi="Times New Roman" w:eastAsia="宋体" w:cs="Times New Roman"/>
          <w:b/>
          <w:bCs/>
          <w:color w:val="FF0000"/>
          <w:lang w:val="en-US" w:eastAsia="zh-CN"/>
        </w:rPr>
        <w:t>在正文部分</w:t>
      </w:r>
      <w:r>
        <w:rPr>
          <w:rFonts w:hint="default" w:ascii="Times New Roman" w:hAnsi="Times New Roman" w:eastAsia="宋体" w:cs="Times New Roman"/>
          <w:b/>
          <w:bCs/>
          <w:color w:val="FF0000"/>
        </w:rPr>
        <w:t>提供了“二、投标及履约承诺函”</w:t>
      </w:r>
      <w:r>
        <w:rPr>
          <w:rFonts w:hint="default" w:ascii="Times New Roman" w:hAnsi="Times New Roman" w:eastAsia="宋体" w:cs="Times New Roman"/>
          <w:b/>
          <w:bCs/>
          <w:color w:val="FF0000"/>
          <w:lang w:eastAsia="zh-CN"/>
        </w:rPr>
        <w:t>的</w:t>
      </w:r>
      <w:r>
        <w:rPr>
          <w:rFonts w:hint="default" w:ascii="Times New Roman" w:hAnsi="Times New Roman" w:eastAsia="宋体" w:cs="Times New Roman"/>
          <w:b/>
          <w:bCs/>
          <w:color w:val="FF0000"/>
        </w:rPr>
        <w:t>，此处可不重复提供《投标及履约承诺函》</w:t>
      </w:r>
      <w:r>
        <w:rPr>
          <w:rFonts w:hint="default" w:ascii="Times New Roman" w:hAnsi="Times New Roman" w:eastAsia="宋体" w:cs="Times New Roman"/>
          <w:b/>
          <w:bCs/>
          <w:color w:val="FF0000"/>
          <w:lang w:eastAsia="zh-CN"/>
        </w:rPr>
        <w:t>。</w:t>
      </w:r>
      <w:r>
        <w:rPr>
          <w:rFonts w:hint="default" w:ascii="Times New Roman" w:hAnsi="Times New Roman" w:eastAsia="宋体" w:cs="Times New Roman"/>
          <w:b/>
          <w:bCs/>
          <w:color w:val="FF0000"/>
        </w:rPr>
        <w:t>其中</w:t>
      </w:r>
      <w:r>
        <w:rPr>
          <w:rFonts w:hint="default" w:ascii="Times New Roman" w:hAnsi="Times New Roman" w:eastAsia="宋体" w:cs="Times New Roman"/>
          <w:b/>
          <w:bCs/>
          <w:color w:val="FF0000"/>
          <w:lang w:val="en-US" w:eastAsia="zh-CN"/>
        </w:rPr>
        <w:t>按</w:t>
      </w:r>
      <w:r>
        <w:rPr>
          <w:rFonts w:hint="default" w:ascii="Times New Roman" w:hAnsi="Times New Roman" w:eastAsia="宋体" w:cs="Times New Roman"/>
          <w:b/>
          <w:bCs/>
          <w:color w:val="FF0000"/>
        </w:rPr>
        <w:t>要求已</w:t>
      </w:r>
      <w:r>
        <w:rPr>
          <w:rFonts w:hint="default" w:ascii="Times New Roman" w:hAnsi="Times New Roman" w:eastAsia="宋体" w:cs="Times New Roman"/>
          <w:b/>
          <w:bCs/>
          <w:color w:val="FF0000"/>
          <w:lang w:val="en-US" w:eastAsia="zh-CN"/>
        </w:rPr>
        <w:t>在附件部分</w:t>
      </w:r>
      <w:r>
        <w:rPr>
          <w:rFonts w:hint="default" w:ascii="Times New Roman" w:hAnsi="Times New Roman" w:eastAsia="宋体" w:cs="Times New Roman"/>
          <w:b/>
          <w:bCs/>
          <w:color w:val="FF0000"/>
        </w:rPr>
        <w:t>提供了“三、供应商基本情况表要求”</w:t>
      </w:r>
      <w:r>
        <w:rPr>
          <w:rFonts w:hint="default" w:ascii="Times New Roman" w:hAnsi="Times New Roman" w:eastAsia="宋体" w:cs="Times New Roman"/>
          <w:b/>
          <w:bCs/>
          <w:color w:val="FF0000"/>
          <w:lang w:eastAsia="zh-CN"/>
        </w:rPr>
        <w:t>的</w:t>
      </w:r>
      <w:r>
        <w:rPr>
          <w:rFonts w:hint="default" w:ascii="Times New Roman" w:hAnsi="Times New Roman" w:eastAsia="宋体" w:cs="Times New Roman"/>
          <w:b/>
          <w:bCs/>
          <w:color w:val="FF0000"/>
        </w:rPr>
        <w:t>，此处可不重复提供《供应商基本情况表要求》</w:t>
      </w:r>
      <w:r>
        <w:rPr>
          <w:rFonts w:hint="default" w:ascii="Times New Roman" w:hAnsi="Times New Roman" w:eastAsia="宋体" w:cs="Times New Roman"/>
          <w:b/>
          <w:bCs/>
          <w:color w:val="FF0000"/>
          <w:lang w:eastAsia="zh-CN"/>
        </w:rPr>
        <w:t>。</w:t>
      </w:r>
    </w:p>
    <w:p w14:paraId="3AFB0C04">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bCs/>
          <w:color w:val="FF0000"/>
          <w:highlight w:val="none"/>
        </w:rPr>
      </w:pPr>
    </w:p>
    <w:p w14:paraId="0077D060">
      <w:pPr>
        <w:keepNext w:val="0"/>
        <w:keepLines w:val="0"/>
        <w:pageBreakBefore w:val="0"/>
        <w:widowControl/>
        <w:numPr>
          <w:ilvl w:val="0"/>
          <w:numId w:val="0"/>
        </w:numPr>
        <w:kinsoku w:val="0"/>
        <w:wordWrap w:val="0"/>
        <w:overflowPunct/>
        <w:topLinePunct w:val="0"/>
        <w:autoSpaceDE w:val="0"/>
        <w:autoSpaceDN w:val="0"/>
        <w:bidi w:val="0"/>
        <w:adjustRightInd w:val="0"/>
        <w:snapToGrid w:val="0"/>
        <w:spacing w:before="78" w:line="221" w:lineRule="auto"/>
        <w:textAlignment w:val="baseline"/>
        <w:outlineLvl w:val="3"/>
        <w:rPr>
          <w:rFonts w:hint="default" w:ascii="Times New Roman" w:hAnsi="Times New Roman" w:eastAsia="黑体" w:cs="Times New Roman"/>
          <w:b/>
          <w:bCs/>
          <w:spacing w:val="-3"/>
          <w:sz w:val="24"/>
          <w:szCs w:val="24"/>
          <w:lang w:val="en-US" w:eastAsia="zh-CN"/>
        </w:rPr>
      </w:pPr>
      <w:r>
        <w:rPr>
          <w:rFonts w:hint="default" w:ascii="Times New Roman" w:hAnsi="Times New Roman" w:eastAsia="黑体" w:cs="Times New Roman"/>
          <w:b/>
          <w:bCs/>
          <w:spacing w:val="-3"/>
          <w:sz w:val="24"/>
          <w:szCs w:val="24"/>
          <w:lang w:val="en-US" w:eastAsia="zh-CN"/>
        </w:rPr>
        <w:t>1、提供营业执照复印件或事业单位法人证等法人证明复印件，原件备查。</w:t>
      </w:r>
      <w:r>
        <w:rPr>
          <w:rFonts w:hint="default" w:ascii="Times New Roman" w:hAnsi="Times New Roman" w:eastAsia="黑体" w:cs="Times New Roman"/>
          <w:b/>
          <w:bCs/>
          <w:spacing w:val="-3"/>
          <w:sz w:val="24"/>
          <w:szCs w:val="24"/>
          <w:lang w:val="en-US" w:eastAsia="zh-CN"/>
        </w:rPr>
        <w:br w:type="textWrapping"/>
      </w:r>
      <w:r>
        <w:rPr>
          <w:rFonts w:hint="default" w:ascii="Times New Roman" w:hAnsi="Times New Roman" w:eastAsia="黑体" w:cs="Times New Roman"/>
          <w:b/>
          <w:bCs/>
          <w:spacing w:val="-3"/>
          <w:sz w:val="24"/>
          <w:szCs w:val="24"/>
          <w:lang w:val="en-US" w:eastAsia="zh-CN"/>
        </w:rPr>
        <w:t>投标人须是在中华人民共和国境内注册，具有独立法人资格或是具有独立承担民事责任的能力的其它组织；总公司或者分公司只允许一家投标，不允许同时参与本项目投标。若为分公司参与投标的，还须提供总公司或具有独立法人的上一级公司出具的愿为其参与本项目投标的行为以及履约等行为承担民事责任的加盖总公司公章的授权函，以及提供总、分公司的营业执照复印件，原件备查。</w:t>
      </w:r>
    </w:p>
    <w:p w14:paraId="0D1CF530">
      <w:pPr>
        <w:keepNext w:val="0"/>
        <w:keepLines w:val="0"/>
        <w:pageBreakBefore w:val="0"/>
        <w:widowControl/>
        <w:kinsoku w:val="0"/>
        <w:wordWrap w:val="0"/>
        <w:overflowPunct/>
        <w:topLinePunct w:val="0"/>
        <w:autoSpaceDE w:val="0"/>
        <w:autoSpaceDN w:val="0"/>
        <w:bidi w:val="0"/>
        <w:adjustRightInd w:val="0"/>
        <w:snapToGrid w:val="0"/>
        <w:spacing w:before="78" w:line="221" w:lineRule="auto"/>
        <w:ind w:left="23"/>
        <w:textAlignment w:val="baseline"/>
        <w:outlineLvl w:val="3"/>
        <w:rPr>
          <w:rFonts w:hint="default" w:ascii="Times New Roman" w:hAnsi="Times New Roman" w:eastAsia="黑体" w:cs="Times New Roman"/>
          <w:sz w:val="24"/>
          <w:szCs w:val="24"/>
          <w:lang w:val="en-US" w:eastAsia="zh-CN"/>
        </w:rPr>
      </w:pPr>
      <w:r>
        <w:rPr>
          <w:rFonts w:hint="default" w:ascii="Times New Roman" w:hAnsi="Times New Roman" w:eastAsia="黑体" w:cs="Times New Roman"/>
          <w:b/>
          <w:bCs/>
          <w:spacing w:val="-3"/>
          <w:sz w:val="24"/>
          <w:szCs w:val="24"/>
          <w:lang w:val="en-US" w:eastAsia="zh-CN"/>
        </w:rPr>
        <w:br w:type="textWrapping"/>
      </w:r>
      <w:r>
        <w:rPr>
          <w:rFonts w:hint="default" w:ascii="Times New Roman" w:hAnsi="Times New Roman" w:eastAsia="黑体" w:cs="Times New Roman"/>
          <w:b/>
          <w:bCs/>
          <w:spacing w:val="-3"/>
          <w:sz w:val="24"/>
          <w:szCs w:val="24"/>
          <w:lang w:val="en-US" w:eastAsia="zh-CN"/>
        </w:rPr>
        <w:t>2、</w:t>
      </w:r>
      <w:r>
        <w:rPr>
          <w:rFonts w:hint="default" w:ascii="Times New Roman" w:hAnsi="Times New Roman" w:eastAsia="黑体" w:cs="Times New Roman"/>
          <w:b/>
          <w:bCs/>
          <w:spacing w:val="-3"/>
          <w:sz w:val="24"/>
          <w:szCs w:val="24"/>
        </w:rPr>
        <w:t>信用信息证明材料</w:t>
      </w:r>
      <w:r>
        <w:rPr>
          <w:rFonts w:hint="default" w:ascii="Times New Roman" w:hAnsi="Times New Roman" w:eastAsia="黑体" w:cs="Times New Roman"/>
          <w:b/>
          <w:bCs/>
          <w:spacing w:val="-3"/>
          <w:sz w:val="24"/>
          <w:szCs w:val="24"/>
          <w:lang w:val="en-US" w:eastAsia="zh-CN"/>
        </w:rPr>
        <w:t>要求</w:t>
      </w:r>
    </w:p>
    <w:p w14:paraId="3048B0E8">
      <w:pPr>
        <w:keepNext w:val="0"/>
        <w:keepLines w:val="0"/>
        <w:pageBreakBefore w:val="0"/>
        <w:widowControl/>
        <w:kinsoku w:val="0"/>
        <w:wordWrap w:val="0"/>
        <w:overflowPunct/>
        <w:topLinePunct w:val="0"/>
        <w:autoSpaceDE w:val="0"/>
        <w:autoSpaceDN w:val="0"/>
        <w:bidi w:val="0"/>
        <w:adjustRightInd w:val="0"/>
        <w:snapToGrid w:val="0"/>
        <w:spacing w:before="40" w:line="227" w:lineRule="auto"/>
        <w:ind w:left="441"/>
        <w:textAlignment w:val="baseline"/>
        <w:rPr>
          <w:rFonts w:hint="default" w:ascii="Times New Roman" w:hAnsi="Times New Roman" w:eastAsia="宋体" w:cs="Times New Roman"/>
          <w:sz w:val="20"/>
          <w:szCs w:val="20"/>
        </w:rPr>
      </w:pPr>
      <w:r>
        <w:rPr>
          <w:rFonts w:hint="default" w:ascii="Times New Roman" w:hAnsi="Times New Roman" w:eastAsia="宋体" w:cs="Times New Roman"/>
          <w:spacing w:val="8"/>
          <w:sz w:val="20"/>
          <w:szCs w:val="20"/>
        </w:rPr>
        <w:t>截图要求</w:t>
      </w:r>
      <w:r>
        <w:rPr>
          <w:rFonts w:hint="default" w:ascii="Times New Roman" w:hAnsi="Times New Roman" w:eastAsia="宋体" w:cs="Times New Roman"/>
          <w:b/>
          <w:bCs/>
          <w:color w:val="FF0000"/>
          <w:spacing w:val="8"/>
          <w:sz w:val="20"/>
          <w:szCs w:val="20"/>
        </w:rPr>
        <w:t>（未按要求提供截图的，视为投标无效</w:t>
      </w:r>
      <w:r>
        <w:rPr>
          <w:rFonts w:hint="default" w:ascii="Times New Roman" w:hAnsi="Times New Roman" w:eastAsia="宋体" w:cs="Times New Roman"/>
          <w:b/>
          <w:bCs/>
          <w:color w:val="FF0000"/>
          <w:spacing w:val="3"/>
          <w:sz w:val="20"/>
          <w:szCs w:val="20"/>
        </w:rPr>
        <w:t>）</w:t>
      </w:r>
      <w:r>
        <w:rPr>
          <w:rFonts w:hint="default" w:ascii="Times New Roman" w:hAnsi="Times New Roman" w:eastAsia="宋体" w:cs="Times New Roman"/>
          <w:spacing w:val="3"/>
          <w:sz w:val="20"/>
          <w:szCs w:val="20"/>
        </w:rPr>
        <w:t>：</w:t>
      </w:r>
    </w:p>
    <w:p w14:paraId="0A8B4418">
      <w:pPr>
        <w:keepNext w:val="0"/>
        <w:keepLines w:val="0"/>
        <w:pageBreakBefore w:val="0"/>
        <w:widowControl/>
        <w:kinsoku w:val="0"/>
        <w:wordWrap w:val="0"/>
        <w:overflowPunct/>
        <w:topLinePunct w:val="0"/>
        <w:autoSpaceDE w:val="0"/>
        <w:autoSpaceDN w:val="0"/>
        <w:bidi w:val="0"/>
        <w:adjustRightInd w:val="0"/>
        <w:snapToGrid w:val="0"/>
        <w:spacing w:before="15" w:line="312" w:lineRule="exact"/>
        <w:ind w:left="452"/>
        <w:textAlignment w:val="baseline"/>
        <w:rPr>
          <w:rFonts w:hint="default" w:ascii="Times New Roman" w:hAnsi="Times New Roman" w:eastAsia="宋体" w:cs="Times New Roman"/>
          <w:color w:val="0C0C0C"/>
          <w:spacing w:val="12"/>
          <w:position w:val="2"/>
          <w:sz w:val="20"/>
          <w:szCs w:val="20"/>
        </w:rPr>
      </w:pPr>
      <w:r>
        <w:rPr>
          <w:rFonts w:hint="default" w:ascii="Times New Roman" w:hAnsi="Times New Roman" w:eastAsia="宋体" w:cs="Times New Roman"/>
          <w:color w:val="0C0C0C"/>
          <w:spacing w:val="12"/>
          <w:position w:val="2"/>
          <w:sz w:val="20"/>
          <w:szCs w:val="20"/>
        </w:rPr>
        <w:t>（1）信用信息查询需登录信用中国查询网址</w:t>
      </w:r>
      <w:r>
        <w:rPr>
          <w:rFonts w:hint="default" w:ascii="Times New Roman" w:hAnsi="Times New Roman" w:cs="Times New Roman"/>
        </w:rPr>
        <w:fldChar w:fldCharType="begin"/>
      </w:r>
      <w:r>
        <w:rPr>
          <w:rFonts w:hint="default" w:ascii="Times New Roman" w:hAnsi="Times New Roman" w:cs="Times New Roman"/>
        </w:rPr>
        <w:instrText xml:space="preserve"> HYPERLINK "http://www.creditchina.gov.cn" </w:instrText>
      </w:r>
      <w:r>
        <w:rPr>
          <w:rFonts w:hint="default" w:ascii="Times New Roman" w:hAnsi="Times New Roman" w:cs="Times New Roman"/>
        </w:rPr>
        <w:fldChar w:fldCharType="separate"/>
      </w:r>
      <w:r>
        <w:rPr>
          <w:rFonts w:hint="default" w:ascii="Times New Roman" w:hAnsi="Times New Roman" w:eastAsia="宋体" w:cs="Times New Roman"/>
          <w:color w:val="0C0C0C"/>
          <w:position w:val="2"/>
          <w:sz w:val="20"/>
          <w:szCs w:val="20"/>
        </w:rPr>
        <w:t>www</w:t>
      </w:r>
      <w:r>
        <w:rPr>
          <w:rFonts w:hint="default" w:ascii="Times New Roman" w:hAnsi="Times New Roman" w:eastAsia="宋体" w:cs="Times New Roman"/>
          <w:color w:val="0C0C0C"/>
          <w:spacing w:val="12"/>
          <w:position w:val="2"/>
          <w:sz w:val="20"/>
          <w:szCs w:val="20"/>
        </w:rPr>
        <w:t>.</w:t>
      </w:r>
      <w:r>
        <w:rPr>
          <w:rFonts w:hint="default" w:ascii="Times New Roman" w:hAnsi="Times New Roman" w:eastAsia="宋体" w:cs="Times New Roman"/>
          <w:color w:val="0C0C0C"/>
          <w:position w:val="2"/>
          <w:sz w:val="20"/>
          <w:szCs w:val="20"/>
        </w:rPr>
        <w:t>creditchina</w:t>
      </w:r>
      <w:r>
        <w:rPr>
          <w:rFonts w:hint="default" w:ascii="Times New Roman" w:hAnsi="Times New Roman" w:eastAsia="宋体" w:cs="Times New Roman"/>
          <w:color w:val="0C0C0C"/>
          <w:spacing w:val="12"/>
          <w:position w:val="2"/>
          <w:sz w:val="20"/>
          <w:szCs w:val="20"/>
        </w:rPr>
        <w:t>.</w:t>
      </w:r>
      <w:r>
        <w:rPr>
          <w:rFonts w:hint="default" w:ascii="Times New Roman" w:hAnsi="Times New Roman" w:eastAsia="宋体" w:cs="Times New Roman"/>
          <w:color w:val="0C0C0C"/>
          <w:position w:val="2"/>
          <w:sz w:val="20"/>
          <w:szCs w:val="20"/>
        </w:rPr>
        <w:t>gov</w:t>
      </w:r>
      <w:r>
        <w:rPr>
          <w:rFonts w:hint="default" w:ascii="Times New Roman" w:hAnsi="Times New Roman" w:eastAsia="宋体" w:cs="Times New Roman"/>
          <w:color w:val="0C0C0C"/>
          <w:spacing w:val="12"/>
          <w:position w:val="2"/>
          <w:sz w:val="20"/>
          <w:szCs w:val="20"/>
        </w:rPr>
        <w:t>.</w:t>
      </w:r>
      <w:r>
        <w:rPr>
          <w:rFonts w:hint="default" w:ascii="Times New Roman" w:hAnsi="Times New Roman" w:eastAsia="宋体" w:cs="Times New Roman"/>
          <w:color w:val="0C0C0C"/>
          <w:position w:val="2"/>
          <w:sz w:val="20"/>
          <w:szCs w:val="20"/>
        </w:rPr>
        <w:t>cn</w:t>
      </w:r>
      <w:r>
        <w:rPr>
          <w:rFonts w:hint="default" w:ascii="Times New Roman" w:hAnsi="Times New Roman" w:eastAsia="宋体" w:cs="Times New Roman"/>
          <w:color w:val="0C0C0C"/>
          <w:position w:val="2"/>
          <w:sz w:val="20"/>
          <w:szCs w:val="20"/>
        </w:rPr>
        <w:fldChar w:fldCharType="end"/>
      </w:r>
      <w:r>
        <w:rPr>
          <w:rFonts w:hint="default" w:ascii="Times New Roman" w:hAnsi="Times New Roman" w:eastAsia="宋体" w:cs="Times New Roman"/>
          <w:color w:val="0C0C0C"/>
          <w:spacing w:val="12"/>
          <w:position w:val="2"/>
          <w:sz w:val="20"/>
          <w:szCs w:val="20"/>
        </w:rPr>
        <w:t>、、中国政府采购网查询网址www.ccgp.gov.cn 下载企业信用信息，信用文档需体现信用中国、中国政 府采购网站标志、投标人在信用中国的查询结果信息、报告生成时间（需下载完整的报 告， 以下截图为首页模板）。</w:t>
      </w:r>
    </w:p>
    <w:p w14:paraId="54086D36">
      <w:pPr>
        <w:keepNext w:val="0"/>
        <w:keepLines w:val="0"/>
        <w:pageBreakBefore w:val="0"/>
        <w:widowControl/>
        <w:kinsoku w:val="0"/>
        <w:wordWrap w:val="0"/>
        <w:overflowPunct/>
        <w:topLinePunct w:val="0"/>
        <w:autoSpaceDE w:val="0"/>
        <w:autoSpaceDN w:val="0"/>
        <w:bidi w:val="0"/>
        <w:adjustRightInd w:val="0"/>
        <w:snapToGrid w:val="0"/>
        <w:spacing w:before="15" w:line="312" w:lineRule="exact"/>
        <w:ind w:left="452"/>
        <w:textAlignment w:val="baseline"/>
        <w:rPr>
          <w:rFonts w:hint="default" w:ascii="Times New Roman" w:hAnsi="Times New Roman" w:eastAsia="宋体" w:cs="Times New Roman"/>
          <w:color w:val="0C0C0C"/>
          <w:spacing w:val="12"/>
          <w:position w:val="2"/>
          <w:sz w:val="20"/>
          <w:szCs w:val="20"/>
        </w:rPr>
      </w:pPr>
      <w:r>
        <w:rPr>
          <w:rFonts w:hint="default" w:ascii="Times New Roman" w:hAnsi="Times New Roman" w:eastAsia="宋体" w:cs="Times New Roman"/>
          <w:color w:val="0C0C0C"/>
          <w:spacing w:val="12"/>
          <w:position w:val="2"/>
          <w:sz w:val="20"/>
          <w:szCs w:val="20"/>
        </w:rPr>
        <w:t>（2）信用信息生成时间须为采购公告发布之日后。</w:t>
      </w:r>
    </w:p>
    <w:p w14:paraId="100582E2">
      <w:pPr>
        <w:keepNext w:val="0"/>
        <w:keepLines w:val="0"/>
        <w:pageBreakBefore w:val="0"/>
        <w:widowControl/>
        <w:kinsoku w:val="0"/>
        <w:wordWrap w:val="0"/>
        <w:overflowPunct/>
        <w:topLinePunct w:val="0"/>
        <w:autoSpaceDE w:val="0"/>
        <w:autoSpaceDN w:val="0"/>
        <w:bidi w:val="0"/>
        <w:adjustRightInd w:val="0"/>
        <w:snapToGrid w:val="0"/>
        <w:spacing w:before="15" w:line="312" w:lineRule="exact"/>
        <w:ind w:left="452"/>
        <w:textAlignment w:val="baseline"/>
        <w:rPr>
          <w:rFonts w:hint="default" w:ascii="Times New Roman" w:hAnsi="Times New Roman" w:eastAsia="宋体" w:cs="Times New Roman"/>
          <w:color w:val="0C0C0C"/>
          <w:spacing w:val="12"/>
          <w:position w:val="2"/>
          <w:sz w:val="20"/>
          <w:szCs w:val="20"/>
        </w:rPr>
      </w:pPr>
      <w:r>
        <w:rPr>
          <w:rFonts w:hint="default" w:ascii="Times New Roman" w:hAnsi="Times New Roman" w:eastAsia="宋体" w:cs="Times New Roman"/>
          <w:color w:val="0C0C0C"/>
          <w:spacing w:val="12"/>
          <w:position w:val="2"/>
          <w:sz w:val="20"/>
          <w:szCs w:val="20"/>
        </w:rPr>
        <w:t>（3）如查询结果存在“列入失信被执行人、重大税收违法案件当事人名单、政府采购 严重违法失信行为记录名单 ”的，且仍处在有效时段及范围内的，则不符合投标人资格 要求，其投标文件将被否决。</w:t>
      </w:r>
    </w:p>
    <w:p w14:paraId="5DC0D028">
      <w:pPr>
        <w:keepNext w:val="0"/>
        <w:keepLines w:val="0"/>
        <w:pageBreakBefore w:val="0"/>
        <w:widowControl/>
        <w:kinsoku w:val="0"/>
        <w:wordWrap w:val="0"/>
        <w:overflowPunct/>
        <w:topLinePunct w:val="0"/>
        <w:autoSpaceDE w:val="0"/>
        <w:autoSpaceDN w:val="0"/>
        <w:bidi w:val="0"/>
        <w:adjustRightInd w:val="0"/>
        <w:snapToGrid w:val="0"/>
        <w:spacing w:before="15" w:line="312" w:lineRule="exact"/>
        <w:ind w:left="452"/>
        <w:textAlignment w:val="baseline"/>
        <w:rPr>
          <w:rFonts w:hint="default" w:ascii="Times New Roman" w:hAnsi="Times New Roman" w:eastAsia="宋体" w:cs="Times New Roman"/>
          <w:color w:val="0C0C0C"/>
          <w:spacing w:val="12"/>
          <w:position w:val="2"/>
          <w:sz w:val="20"/>
          <w:szCs w:val="20"/>
        </w:rPr>
      </w:pPr>
      <w:r>
        <w:rPr>
          <w:rFonts w:hint="default" w:ascii="Times New Roman" w:hAnsi="Times New Roman" w:eastAsia="宋体" w:cs="Times New Roman"/>
          <w:color w:val="0C0C0C"/>
          <w:spacing w:val="12"/>
          <w:position w:val="2"/>
          <w:sz w:val="20"/>
          <w:szCs w:val="20"/>
        </w:rPr>
        <w:t>（4）采购人、</w:t>
      </w:r>
      <w:r>
        <w:rPr>
          <w:rFonts w:hint="eastAsia" w:cs="Times New Roman"/>
          <w:color w:val="0C0C0C"/>
          <w:spacing w:val="12"/>
          <w:position w:val="2"/>
          <w:sz w:val="20"/>
          <w:szCs w:val="20"/>
          <w:lang w:eastAsia="zh-CN"/>
        </w:rPr>
        <w:t xml:space="preserve"> 深圳信德招标服务有限公司</w:t>
      </w:r>
      <w:r>
        <w:rPr>
          <w:rFonts w:hint="default" w:ascii="Times New Roman" w:hAnsi="Times New Roman" w:eastAsia="宋体" w:cs="Times New Roman"/>
          <w:color w:val="0C0C0C"/>
          <w:spacing w:val="12"/>
          <w:position w:val="2"/>
          <w:sz w:val="20"/>
          <w:szCs w:val="20"/>
        </w:rPr>
        <w:t>有权对该信用信息的真实性进行核实。</w:t>
      </w:r>
    </w:p>
    <w:p w14:paraId="3D128F0A">
      <w:pPr>
        <w:pStyle w:val="19"/>
        <w:keepNext w:val="0"/>
        <w:keepLines w:val="0"/>
        <w:pageBreakBefore w:val="0"/>
        <w:widowControl/>
        <w:kinsoku w:val="0"/>
        <w:wordWrap w:val="0"/>
        <w:overflowPunct/>
        <w:topLinePunct w:val="0"/>
        <w:autoSpaceDE w:val="0"/>
        <w:autoSpaceDN w:val="0"/>
        <w:bidi w:val="0"/>
        <w:adjustRightInd w:val="0"/>
        <w:snapToGrid w:val="0"/>
        <w:spacing w:line="436" w:lineRule="auto"/>
        <w:textAlignment w:val="baseline"/>
        <w:rPr>
          <w:rFonts w:hint="default" w:ascii="Times New Roman" w:hAnsi="Times New Roman" w:cs="Times New Roman"/>
        </w:rPr>
      </w:pPr>
    </w:p>
    <w:p w14:paraId="6F2EF287">
      <w:pPr>
        <w:keepNext w:val="0"/>
        <w:keepLines w:val="0"/>
        <w:pageBreakBefore w:val="0"/>
        <w:widowControl/>
        <w:kinsoku w:val="0"/>
        <w:wordWrap w:val="0"/>
        <w:overflowPunct/>
        <w:topLinePunct w:val="0"/>
        <w:autoSpaceDE w:val="0"/>
        <w:autoSpaceDN w:val="0"/>
        <w:bidi w:val="0"/>
        <w:adjustRightInd w:val="0"/>
        <w:snapToGrid w:val="0"/>
        <w:spacing w:line="4455" w:lineRule="exact"/>
        <w:ind w:firstLine="14"/>
        <w:textAlignment w:val="baseline"/>
        <w:rPr>
          <w:rFonts w:hint="default" w:ascii="Times New Roman" w:hAnsi="Times New Roman" w:cs="Times New Roman"/>
        </w:rPr>
      </w:pPr>
      <w:r>
        <w:rPr>
          <w:rFonts w:hint="default" w:ascii="Times New Roman" w:hAnsi="Times New Roman" w:cs="Times New Roman"/>
          <w:position w:val="-89"/>
        </w:rPr>
        <w:drawing>
          <wp:inline distT="0" distB="0" distL="0" distR="0">
            <wp:extent cx="5266690" cy="2828290"/>
            <wp:effectExtent l="0" t="0" r="3810" b="3810"/>
            <wp:docPr id="96" name="IM 96"/>
            <wp:cNvGraphicFramePr/>
            <a:graphic xmlns:a="http://schemas.openxmlformats.org/drawingml/2006/main">
              <a:graphicData uri="http://schemas.openxmlformats.org/drawingml/2006/picture">
                <pic:pic xmlns:pic="http://schemas.openxmlformats.org/drawingml/2006/picture">
                  <pic:nvPicPr>
                    <pic:cNvPr id="96" name="IM 96"/>
                    <pic:cNvPicPr/>
                  </pic:nvPicPr>
                  <pic:blipFill>
                    <a:blip r:embed="rId8"/>
                    <a:stretch>
                      <a:fillRect/>
                    </a:stretch>
                  </pic:blipFill>
                  <pic:spPr>
                    <a:xfrm>
                      <a:off x="0" y="0"/>
                      <a:ext cx="5266944" cy="2828543"/>
                    </a:xfrm>
                    <a:prstGeom prst="rect">
                      <a:avLst/>
                    </a:prstGeom>
                  </pic:spPr>
                </pic:pic>
              </a:graphicData>
            </a:graphic>
          </wp:inline>
        </w:drawing>
      </w:r>
    </w:p>
    <w:p w14:paraId="625B1AE1">
      <w:pPr>
        <w:keepNext w:val="0"/>
        <w:keepLines w:val="0"/>
        <w:pageBreakBefore w:val="0"/>
        <w:widowControl/>
        <w:kinsoku w:val="0"/>
        <w:wordWrap w:val="0"/>
        <w:overflowPunct/>
        <w:topLinePunct w:val="0"/>
        <w:autoSpaceDE w:val="0"/>
        <w:autoSpaceDN w:val="0"/>
        <w:bidi w:val="0"/>
        <w:adjustRightInd w:val="0"/>
        <w:snapToGrid w:val="0"/>
        <w:spacing w:before="165" w:line="6135" w:lineRule="exact"/>
        <w:ind w:firstLine="1691"/>
        <w:textAlignment w:val="baseline"/>
        <w:rPr>
          <w:rFonts w:hint="default" w:ascii="Times New Roman" w:hAnsi="Times New Roman" w:cs="Times New Roman"/>
        </w:rPr>
      </w:pPr>
      <w:r>
        <w:rPr>
          <w:rFonts w:hint="default" w:ascii="Times New Roman" w:hAnsi="Times New Roman" w:cs="Times New Roman"/>
          <w:position w:val="-122"/>
        </w:rPr>
        <w:drawing>
          <wp:anchor distT="0" distB="0" distL="0" distR="0" simplePos="0" relativeHeight="251659264" behindDoc="0" locked="0" layoutInCell="1" allowOverlap="1">
            <wp:simplePos x="0" y="0"/>
            <wp:positionH relativeFrom="column">
              <wp:posOffset>259715</wp:posOffset>
            </wp:positionH>
            <wp:positionV relativeFrom="paragraph">
              <wp:posOffset>638810</wp:posOffset>
            </wp:positionV>
            <wp:extent cx="4651375" cy="5956300"/>
            <wp:effectExtent l="0" t="0" r="9525" b="0"/>
            <wp:wrapTopAndBottom/>
            <wp:docPr id="98" name="IM 98"/>
            <wp:cNvGraphicFramePr/>
            <a:graphic xmlns:a="http://schemas.openxmlformats.org/drawingml/2006/main">
              <a:graphicData uri="http://schemas.openxmlformats.org/drawingml/2006/picture">
                <pic:pic xmlns:pic="http://schemas.openxmlformats.org/drawingml/2006/picture">
                  <pic:nvPicPr>
                    <pic:cNvPr id="98" name="IM 98"/>
                    <pic:cNvPicPr/>
                  </pic:nvPicPr>
                  <pic:blipFill>
                    <a:blip r:embed="rId9"/>
                    <a:stretch>
                      <a:fillRect/>
                    </a:stretch>
                  </pic:blipFill>
                  <pic:spPr>
                    <a:xfrm>
                      <a:off x="0" y="0"/>
                      <a:ext cx="4651375" cy="5956300"/>
                    </a:xfrm>
                    <a:prstGeom prst="rect">
                      <a:avLst/>
                    </a:prstGeom>
                  </pic:spPr>
                </pic:pic>
              </a:graphicData>
            </a:graphic>
          </wp:anchor>
        </w:drawing>
      </w:r>
    </w:p>
    <w:p w14:paraId="1208C22E">
      <w:pPr>
        <w:pStyle w:val="19"/>
        <w:keepNext w:val="0"/>
        <w:keepLines w:val="0"/>
        <w:pageBreakBefore w:val="0"/>
        <w:widowControl/>
        <w:kinsoku w:val="0"/>
        <w:wordWrap w:val="0"/>
        <w:overflowPunct/>
        <w:topLinePunct w:val="0"/>
        <w:autoSpaceDE w:val="0"/>
        <w:autoSpaceDN w:val="0"/>
        <w:bidi w:val="0"/>
        <w:adjustRightInd w:val="0"/>
        <w:snapToGrid w:val="0"/>
        <w:spacing w:line="255" w:lineRule="auto"/>
        <w:textAlignment w:val="baseline"/>
        <w:rPr>
          <w:rFonts w:hint="default" w:ascii="Times New Roman" w:hAnsi="Times New Roman" w:cs="Times New Roman"/>
        </w:rPr>
      </w:pPr>
    </w:p>
    <w:p w14:paraId="3FC4FAC4">
      <w:pPr>
        <w:pStyle w:val="19"/>
        <w:keepNext w:val="0"/>
        <w:keepLines w:val="0"/>
        <w:pageBreakBefore w:val="0"/>
        <w:widowControl/>
        <w:kinsoku w:val="0"/>
        <w:wordWrap w:val="0"/>
        <w:overflowPunct/>
        <w:topLinePunct w:val="0"/>
        <w:autoSpaceDE w:val="0"/>
        <w:autoSpaceDN w:val="0"/>
        <w:bidi w:val="0"/>
        <w:adjustRightInd w:val="0"/>
        <w:snapToGrid w:val="0"/>
        <w:spacing w:line="256" w:lineRule="auto"/>
        <w:textAlignment w:val="baseline"/>
        <w:rPr>
          <w:rFonts w:hint="default" w:ascii="Times New Roman" w:hAnsi="Times New Roman" w:cs="Times New Roman"/>
        </w:rPr>
      </w:pPr>
    </w:p>
    <w:p w14:paraId="4628935F">
      <w:pPr>
        <w:keepNext w:val="0"/>
        <w:keepLines w:val="0"/>
        <w:pageBreakBefore w:val="0"/>
        <w:widowControl/>
        <w:kinsoku w:val="0"/>
        <w:wordWrap w:val="0"/>
        <w:overflowPunct/>
        <w:topLinePunct w:val="0"/>
        <w:autoSpaceDE w:val="0"/>
        <w:autoSpaceDN w:val="0"/>
        <w:bidi w:val="0"/>
        <w:adjustRightInd w:val="0"/>
        <w:snapToGrid w:val="0"/>
        <w:spacing w:before="99" w:line="5124" w:lineRule="exact"/>
        <w:ind w:firstLine="14"/>
        <w:textAlignment w:val="baseline"/>
        <w:rPr>
          <w:rFonts w:hint="default" w:ascii="Times New Roman" w:hAnsi="Times New Roman" w:cs="Times New Roman"/>
        </w:rPr>
      </w:pPr>
      <w:r>
        <w:rPr>
          <w:rFonts w:hint="default" w:ascii="Times New Roman" w:hAnsi="Times New Roman" w:cs="Times New Roman"/>
          <w:position w:val="-102"/>
        </w:rPr>
        <w:drawing>
          <wp:inline distT="0" distB="0" distL="0" distR="0">
            <wp:extent cx="5273040" cy="3253740"/>
            <wp:effectExtent l="0" t="0" r="10160" b="10160"/>
            <wp:docPr id="102" name="IM 102"/>
            <wp:cNvGraphicFramePr/>
            <a:graphic xmlns:a="http://schemas.openxmlformats.org/drawingml/2006/main">
              <a:graphicData uri="http://schemas.openxmlformats.org/drawingml/2006/picture">
                <pic:pic xmlns:pic="http://schemas.openxmlformats.org/drawingml/2006/picture">
                  <pic:nvPicPr>
                    <pic:cNvPr id="102" name="IM 102"/>
                    <pic:cNvPicPr/>
                  </pic:nvPicPr>
                  <pic:blipFill>
                    <a:blip r:embed="rId10"/>
                    <a:stretch>
                      <a:fillRect/>
                    </a:stretch>
                  </pic:blipFill>
                  <pic:spPr>
                    <a:xfrm>
                      <a:off x="0" y="0"/>
                      <a:ext cx="5273040" cy="3253740"/>
                    </a:xfrm>
                    <a:prstGeom prst="rect">
                      <a:avLst/>
                    </a:prstGeom>
                  </pic:spPr>
                </pic:pic>
              </a:graphicData>
            </a:graphic>
          </wp:inline>
        </w:drawing>
      </w:r>
    </w:p>
    <w:p w14:paraId="5EE31349">
      <w:pPr>
        <w:keepNext w:val="0"/>
        <w:keepLines w:val="0"/>
        <w:pageBreakBefore w:val="0"/>
        <w:widowControl/>
        <w:kinsoku w:val="0"/>
        <w:wordWrap w:val="0"/>
        <w:overflowPunct/>
        <w:topLinePunct w:val="0"/>
        <w:autoSpaceDE w:val="0"/>
        <w:autoSpaceDN w:val="0"/>
        <w:bidi w:val="0"/>
        <w:adjustRightInd w:val="0"/>
        <w:snapToGrid w:val="0"/>
        <w:spacing w:before="125" w:line="218" w:lineRule="auto"/>
        <w:ind w:left="1899"/>
        <w:textAlignment w:val="baseline"/>
        <w:rPr>
          <w:rFonts w:hint="default" w:ascii="Times New Roman" w:hAnsi="Times New Roman" w:eastAsia="宋体" w:cs="Times New Roman"/>
          <w:b/>
          <w:bCs/>
          <w:spacing w:val="-3"/>
          <w:sz w:val="24"/>
          <w:szCs w:val="24"/>
        </w:rPr>
      </w:pPr>
      <w:r>
        <w:rPr>
          <w:rFonts w:hint="default" w:ascii="Times New Roman" w:hAnsi="Times New Roman" w:eastAsia="宋体" w:cs="Times New Roman"/>
          <w:b/>
          <w:bCs/>
          <w:spacing w:val="-3"/>
          <w:sz w:val="24"/>
          <w:szCs w:val="24"/>
        </w:rPr>
        <w:t>（以上截图为首页模板，需下载完整报告）</w:t>
      </w:r>
    </w:p>
    <w:p w14:paraId="03C099A3">
      <w:pPr>
        <w:rPr>
          <w:rFonts w:hint="default" w:ascii="Times New Roman" w:hAnsi="Times New Roman" w:eastAsia="宋体" w:cs="Times New Roman"/>
          <w:b/>
          <w:bCs/>
          <w:spacing w:val="-3"/>
          <w:sz w:val="24"/>
          <w:szCs w:val="24"/>
        </w:rPr>
      </w:pPr>
      <w:r>
        <w:rPr>
          <w:rFonts w:hint="default" w:ascii="Times New Roman" w:hAnsi="Times New Roman" w:eastAsia="宋体" w:cs="Times New Roman"/>
          <w:b/>
          <w:bCs/>
          <w:spacing w:val="-3"/>
          <w:sz w:val="24"/>
          <w:szCs w:val="24"/>
        </w:rPr>
        <w:br w:type="page"/>
      </w:r>
    </w:p>
    <w:p w14:paraId="3AE86304">
      <w:pPr>
        <w:pageBreakBefore w:val="0"/>
        <w:kinsoku/>
        <w:overflowPunct/>
        <w:topLinePunct w:val="0"/>
        <w:autoSpaceDE/>
        <w:autoSpaceDN/>
        <w:bidi w:val="0"/>
        <w:spacing w:before="0" w:beforeAutospacing="0" w:after="0" w:afterAutospacing="0" w:line="360" w:lineRule="auto"/>
        <w:ind w:left="0" w:leftChars="0" w:right="0" w:firstLine="0" w:firstLineChars="0"/>
        <w:jc w:val="center"/>
        <w:outlineLvl w:val="9"/>
        <w:rPr>
          <w:rFonts w:hint="default" w:ascii="Times New Roman" w:hAnsi="Times New Roman" w:cs="Times New Roman"/>
          <w:b/>
          <w:bCs/>
          <w:sz w:val="32"/>
          <w:szCs w:val="22"/>
          <w:highlight w:val="none"/>
          <w:lang w:val="en-US" w:eastAsia="zh-CN"/>
        </w:rPr>
      </w:pPr>
    </w:p>
    <w:p w14:paraId="43F0B75E">
      <w:pPr>
        <w:pStyle w:val="19"/>
        <w:keepNext w:val="0"/>
        <w:keepLines w:val="0"/>
        <w:pageBreakBefore w:val="0"/>
        <w:widowControl/>
        <w:kinsoku w:val="0"/>
        <w:wordWrap w:val="0"/>
        <w:overflowPunct/>
        <w:topLinePunct w:val="0"/>
        <w:autoSpaceDE w:val="0"/>
        <w:autoSpaceDN w:val="0"/>
        <w:bidi w:val="0"/>
        <w:adjustRightInd w:val="0"/>
        <w:snapToGrid w:val="0"/>
        <w:spacing w:line="245" w:lineRule="auto"/>
        <w:textAlignment w:val="baseline"/>
        <w:rPr>
          <w:rFonts w:hint="default" w:ascii="Times New Roman" w:hAnsi="Times New Roman" w:cs="Times New Roman"/>
        </w:rPr>
      </w:pPr>
    </w:p>
    <w:p w14:paraId="4592445B">
      <w:pPr>
        <w:pStyle w:val="19"/>
        <w:keepNext w:val="0"/>
        <w:keepLines w:val="0"/>
        <w:pageBreakBefore w:val="0"/>
        <w:widowControl/>
        <w:kinsoku w:val="0"/>
        <w:wordWrap w:val="0"/>
        <w:overflowPunct/>
        <w:topLinePunct w:val="0"/>
        <w:autoSpaceDE w:val="0"/>
        <w:autoSpaceDN w:val="0"/>
        <w:bidi w:val="0"/>
        <w:adjustRightInd w:val="0"/>
        <w:snapToGrid w:val="0"/>
        <w:spacing w:line="245" w:lineRule="auto"/>
        <w:textAlignment w:val="baseline"/>
        <w:rPr>
          <w:rFonts w:hint="default" w:ascii="Times New Roman" w:hAnsi="Times New Roman" w:cs="Times New Roman"/>
        </w:rPr>
      </w:pPr>
    </w:p>
    <w:p w14:paraId="64F591A1">
      <w:pPr>
        <w:pageBreakBefore w:val="0"/>
        <w:kinsoku/>
        <w:overflowPunct/>
        <w:topLinePunct w:val="0"/>
        <w:autoSpaceDE/>
        <w:autoSpaceDN/>
        <w:bidi w:val="0"/>
        <w:spacing w:beforeAutospacing="0" w:afterAutospacing="0" w:line="360" w:lineRule="auto"/>
        <w:ind w:left="0" w:leftChars="0" w:right="0" w:firstLine="0" w:firstLineChars="0"/>
        <w:outlineLvl w:val="2"/>
        <w:rPr>
          <w:rFonts w:hint="default" w:ascii="Times New Roman" w:hAnsi="Times New Roman" w:eastAsia="宋体" w:cs="Times New Roman"/>
          <w:b/>
          <w:bCs w:val="0"/>
          <w:kern w:val="0"/>
          <w:sz w:val="32"/>
          <w:szCs w:val="40"/>
          <w:highlight w:val="yellow"/>
        </w:rPr>
      </w:pPr>
      <w:bookmarkStart w:id="56" w:name="_Hlk72257908"/>
      <w:r>
        <w:rPr>
          <w:rFonts w:hint="default" w:ascii="Times New Roman" w:hAnsi="Times New Roman" w:eastAsia="宋体" w:cs="Times New Roman"/>
          <w:b/>
          <w:bCs w:val="0"/>
          <w:kern w:val="0"/>
          <w:sz w:val="32"/>
          <w:szCs w:val="40"/>
          <w:highlight w:val="yellow"/>
        </w:rPr>
        <w:t>（二）中小企业声明函、残疾人福利性单位声明函及监狱企业声明函</w:t>
      </w:r>
    </w:p>
    <w:bookmarkEnd w:id="55"/>
    <w:p w14:paraId="64BF0ACA">
      <w:pPr>
        <w:pageBreakBefore w:val="0"/>
        <w:kinsoku/>
        <w:overflowPunct/>
        <w:topLinePunct w:val="0"/>
        <w:autoSpaceDE/>
        <w:autoSpaceDN/>
        <w:bidi w:val="0"/>
        <w:spacing w:beforeAutospacing="0" w:afterAutospacing="0" w:line="240" w:lineRule="auto"/>
        <w:ind w:left="0" w:leftChars="0" w:right="0" w:firstLine="0" w:firstLineChars="0"/>
        <w:outlineLvl w:val="9"/>
        <w:rPr>
          <w:rFonts w:hint="default" w:ascii="Times New Roman" w:hAnsi="Times New Roman" w:eastAsia="宋体" w:cs="Times New Roman"/>
          <w:bCs/>
          <w:color w:val="FF0000"/>
          <w:kern w:val="0"/>
          <w:szCs w:val="21"/>
          <w:highlight w:val="none"/>
        </w:rPr>
      </w:pPr>
      <w:r>
        <w:rPr>
          <w:rFonts w:hint="default" w:ascii="Times New Roman" w:hAnsi="Times New Roman" w:eastAsia="宋体" w:cs="Times New Roman"/>
          <w:bCs/>
          <w:color w:val="FF0000"/>
          <w:kern w:val="0"/>
          <w:szCs w:val="21"/>
          <w:highlight w:val="none"/>
        </w:rPr>
        <w:t>填写指引：</w:t>
      </w:r>
    </w:p>
    <w:p w14:paraId="67D99421">
      <w:pPr>
        <w:pageBreakBefore w:val="0"/>
        <w:kinsoku/>
        <w:overflowPunct/>
        <w:topLinePunct w:val="0"/>
        <w:autoSpaceDE/>
        <w:autoSpaceDN/>
        <w:bidi w:val="0"/>
        <w:spacing w:beforeAutospacing="0" w:afterAutospacing="0" w:line="240" w:lineRule="auto"/>
        <w:ind w:left="0" w:leftChars="0" w:right="0" w:firstLine="0" w:firstLineChars="0"/>
        <w:outlineLvl w:val="9"/>
        <w:rPr>
          <w:rFonts w:hint="default" w:ascii="Times New Roman" w:hAnsi="Times New Roman" w:eastAsia="宋体" w:cs="Times New Roman"/>
          <w:b/>
          <w:bCs/>
          <w:color w:val="FF0000"/>
          <w:szCs w:val="21"/>
          <w:highlight w:val="none"/>
        </w:rPr>
      </w:pPr>
      <w:r>
        <w:rPr>
          <w:rFonts w:hint="default" w:ascii="Times New Roman" w:hAnsi="Times New Roman" w:eastAsia="宋体" w:cs="Times New Roman"/>
          <w:b/>
          <w:bCs/>
          <w:color w:val="FF0000"/>
          <w:szCs w:val="21"/>
          <w:highlight w:val="none"/>
        </w:rPr>
        <w:t>1、该部分内容由投标人根据自身实际情况填写，不符合要求的投标人可以不填写或直接删除相应的声明函（关于视同中小企业的其他主体（如民办非企、社会组织团体等）请遵照《财政部《政府采购促进中小企业发展管理办法》（财库〔2020〕46号）》第二十三条 “关于视同中小企业的其他主体的政府采购扶持政策，由财政部会同有关部门另行规定”谨慎填写！）。投标人提供的声明函不属实的，属于提供虚假资料谋取中标，依照《中华人民共和国政府采购法》等国家有关规定追究相应责任。</w:t>
      </w:r>
    </w:p>
    <w:p w14:paraId="66C39CCF">
      <w:pPr>
        <w:pageBreakBefore w:val="0"/>
        <w:kinsoku/>
        <w:overflowPunct/>
        <w:topLinePunct w:val="0"/>
        <w:autoSpaceDE/>
        <w:autoSpaceDN/>
        <w:bidi w:val="0"/>
        <w:spacing w:beforeAutospacing="0" w:afterAutospacing="0" w:line="240" w:lineRule="auto"/>
        <w:ind w:left="0" w:leftChars="0" w:right="0" w:firstLine="0" w:firstLineChars="0"/>
        <w:outlineLvl w:val="9"/>
        <w:rPr>
          <w:rFonts w:hint="default" w:ascii="Times New Roman" w:hAnsi="Times New Roman" w:eastAsia="宋体" w:cs="Times New Roman"/>
          <w:color w:val="FF0000"/>
          <w:szCs w:val="21"/>
          <w:highlight w:val="none"/>
        </w:rPr>
      </w:pPr>
      <w:r>
        <w:rPr>
          <w:rFonts w:hint="default" w:ascii="Times New Roman" w:hAnsi="Times New Roman" w:eastAsia="宋体" w:cs="Times New Roman"/>
          <w:color w:val="FF0000"/>
          <w:szCs w:val="21"/>
          <w:highlight w:val="none"/>
        </w:rPr>
        <w:t>2、该部分内容填写需要参考的相关文件：(1)财政部《政府采购促进中小企业发展管理办法》（财库〔2020〕46号）；(2)</w:t>
      </w:r>
      <w:bookmarkStart w:id="57" w:name="_Hlk71925120"/>
      <w:r>
        <w:rPr>
          <w:rFonts w:hint="default" w:ascii="Times New Roman" w:hAnsi="Times New Roman" w:eastAsia="宋体" w:cs="Times New Roman"/>
          <w:color w:val="FF0000"/>
          <w:szCs w:val="21"/>
          <w:highlight w:val="none"/>
        </w:rPr>
        <w:t>《工业和信息化部、国家统计局、国家发展和改革委员会、财政部关于印发中小企业划型标准规定的通知》（工信部联企业〔2011〕300 号</w:t>
      </w:r>
      <w:bookmarkEnd w:id="57"/>
      <w:r>
        <w:rPr>
          <w:rFonts w:hint="default" w:ascii="Times New Roman" w:hAnsi="Times New Roman" w:eastAsia="宋体" w:cs="Times New Roman"/>
          <w:color w:val="FF0000"/>
          <w:szCs w:val="21"/>
          <w:highlight w:val="none"/>
        </w:rPr>
        <w:t>，以下简称300号文）。</w:t>
      </w:r>
    </w:p>
    <w:p w14:paraId="1A14B4D7">
      <w:pPr>
        <w:pageBreakBefore w:val="0"/>
        <w:kinsoku/>
        <w:overflowPunct/>
        <w:topLinePunct w:val="0"/>
        <w:autoSpaceDE/>
        <w:autoSpaceDN/>
        <w:bidi w:val="0"/>
        <w:spacing w:beforeAutospacing="0" w:afterAutospacing="0" w:line="240" w:lineRule="auto"/>
        <w:ind w:left="0" w:leftChars="0" w:right="0" w:firstLine="0" w:firstLineChars="0"/>
        <w:outlineLvl w:val="9"/>
        <w:rPr>
          <w:rFonts w:hint="default" w:ascii="Times New Roman" w:hAnsi="Times New Roman" w:eastAsia="宋体" w:cs="Times New Roman"/>
          <w:bCs/>
          <w:color w:val="FF0000"/>
          <w:kern w:val="0"/>
          <w:szCs w:val="21"/>
          <w:highlight w:val="none"/>
        </w:rPr>
      </w:pPr>
      <w:r>
        <w:rPr>
          <w:rFonts w:hint="default" w:ascii="Times New Roman" w:hAnsi="Times New Roman" w:eastAsia="宋体" w:cs="Times New Roman"/>
          <w:bCs/>
          <w:color w:val="FF0000"/>
          <w:kern w:val="0"/>
          <w:szCs w:val="21"/>
          <w:highlight w:val="none"/>
        </w:rPr>
        <w:t>3、请依照提供的格式和内容填写声明函，不要随意变更格式；声明函不需要盖章或签字；</w:t>
      </w:r>
      <w:r>
        <w:rPr>
          <w:rFonts w:hint="default" w:ascii="Times New Roman" w:hAnsi="Times New Roman" w:eastAsia="宋体" w:cs="Times New Roman"/>
          <w:color w:val="FF0000"/>
          <w:szCs w:val="21"/>
          <w:highlight w:val="none"/>
        </w:rPr>
        <w:t>满足多项优惠政策的投标人，不重复享受多项价格扣除政策。</w:t>
      </w:r>
    </w:p>
    <w:p w14:paraId="014707EA">
      <w:pPr>
        <w:pageBreakBefore w:val="0"/>
        <w:kinsoku/>
        <w:overflowPunct/>
        <w:topLinePunct w:val="0"/>
        <w:autoSpaceDE/>
        <w:autoSpaceDN/>
        <w:bidi w:val="0"/>
        <w:spacing w:beforeAutospacing="0" w:afterAutospacing="0" w:line="240" w:lineRule="auto"/>
        <w:ind w:left="0" w:leftChars="0" w:right="0" w:firstLine="0" w:firstLineChars="0"/>
        <w:outlineLvl w:val="9"/>
        <w:rPr>
          <w:rFonts w:hint="default" w:ascii="Times New Roman" w:hAnsi="Times New Roman" w:eastAsia="宋体" w:cs="Times New Roman"/>
          <w:bCs/>
          <w:color w:val="FF0000"/>
          <w:kern w:val="0"/>
          <w:szCs w:val="21"/>
          <w:highlight w:val="none"/>
        </w:rPr>
      </w:pPr>
      <w:r>
        <w:rPr>
          <w:rFonts w:hint="default" w:ascii="Times New Roman" w:hAnsi="Times New Roman" w:eastAsia="宋体" w:cs="Times New Roman"/>
          <w:bCs/>
          <w:color w:val="FF0000"/>
          <w:kern w:val="0"/>
          <w:szCs w:val="21"/>
          <w:highlight w:val="none"/>
        </w:rPr>
        <w:t>4、声明函具体填写要求：</w:t>
      </w:r>
    </w:p>
    <w:p w14:paraId="309204D2">
      <w:pPr>
        <w:pageBreakBefore w:val="0"/>
        <w:kinsoku/>
        <w:overflowPunct/>
        <w:topLinePunct w:val="0"/>
        <w:autoSpaceDE/>
        <w:autoSpaceDN/>
        <w:bidi w:val="0"/>
        <w:spacing w:beforeAutospacing="0" w:afterAutospacing="0" w:line="240" w:lineRule="auto"/>
        <w:ind w:left="0" w:leftChars="0" w:right="0" w:firstLine="0" w:firstLineChars="0"/>
        <w:outlineLvl w:val="9"/>
        <w:rPr>
          <w:rFonts w:hint="default" w:ascii="Times New Roman" w:hAnsi="Times New Roman" w:eastAsia="宋体" w:cs="Times New Roman"/>
          <w:bCs/>
          <w:color w:val="FF0000"/>
          <w:kern w:val="0"/>
          <w:szCs w:val="21"/>
          <w:highlight w:val="none"/>
        </w:rPr>
      </w:pPr>
      <w:r>
        <w:rPr>
          <w:rFonts w:hint="default" w:ascii="Times New Roman" w:hAnsi="Times New Roman" w:eastAsia="宋体" w:cs="Times New Roman"/>
          <w:bCs/>
          <w:color w:val="FF0000"/>
          <w:kern w:val="0"/>
          <w:szCs w:val="21"/>
          <w:highlight w:val="none"/>
        </w:rPr>
        <w:t>（1）声明是中小企业须填写《中小企业声明函》的以下内容：</w:t>
      </w:r>
    </w:p>
    <w:p w14:paraId="1288F6E6">
      <w:pPr>
        <w:pageBreakBefore w:val="0"/>
        <w:kinsoku/>
        <w:overflowPunct/>
        <w:topLinePunct w:val="0"/>
        <w:autoSpaceDE/>
        <w:autoSpaceDN/>
        <w:bidi w:val="0"/>
        <w:spacing w:beforeAutospacing="0" w:afterAutospacing="0" w:line="240" w:lineRule="auto"/>
        <w:ind w:left="0" w:leftChars="0" w:right="0" w:firstLine="0" w:firstLineChars="0"/>
        <w:outlineLvl w:val="9"/>
        <w:rPr>
          <w:rFonts w:hint="default" w:ascii="Times New Roman" w:hAnsi="Times New Roman" w:eastAsia="宋体" w:cs="Times New Roman"/>
          <w:bCs/>
          <w:color w:val="FF0000"/>
          <w:kern w:val="0"/>
          <w:szCs w:val="21"/>
          <w:highlight w:val="none"/>
        </w:rPr>
      </w:pPr>
      <w:r>
        <w:rPr>
          <w:rFonts w:hint="default" w:ascii="Times New Roman" w:hAnsi="Times New Roman" w:eastAsia="宋体" w:cs="Times New Roman"/>
          <w:bCs/>
          <w:color w:val="FF0000"/>
          <w:kern w:val="0"/>
          <w:szCs w:val="21"/>
          <w:highlight w:val="none"/>
        </w:rPr>
        <w:t>第一处，在“单位名称”下划线处如实填写采购人名称（</w:t>
      </w:r>
      <w:r>
        <w:rPr>
          <w:rFonts w:hint="eastAsia" w:cs="Times New Roman"/>
          <w:bCs/>
          <w:color w:val="FF0000"/>
          <w:kern w:val="0"/>
          <w:szCs w:val="21"/>
          <w:highlight w:val="none"/>
          <w:lang w:eastAsia="zh-CN"/>
        </w:rPr>
        <w:t xml:space="preserve"> 深圳信德招标服务有限公司</w:t>
      </w:r>
      <w:r>
        <w:rPr>
          <w:rFonts w:hint="default" w:ascii="Times New Roman" w:hAnsi="Times New Roman" w:eastAsia="宋体" w:cs="Times New Roman"/>
          <w:bCs/>
          <w:color w:val="FF0000"/>
          <w:kern w:val="0"/>
          <w:szCs w:val="21"/>
          <w:highlight w:val="none"/>
        </w:rPr>
        <w:t>不是本项目的采购人，而是组织实施机构）；</w:t>
      </w:r>
    </w:p>
    <w:p w14:paraId="080A0EBE">
      <w:pPr>
        <w:pageBreakBefore w:val="0"/>
        <w:kinsoku/>
        <w:overflowPunct/>
        <w:topLinePunct w:val="0"/>
        <w:autoSpaceDE/>
        <w:autoSpaceDN/>
        <w:bidi w:val="0"/>
        <w:spacing w:beforeAutospacing="0" w:afterAutospacing="0" w:line="240" w:lineRule="auto"/>
        <w:ind w:left="0" w:leftChars="0" w:right="0" w:firstLine="0" w:firstLineChars="0"/>
        <w:outlineLvl w:val="9"/>
        <w:rPr>
          <w:rFonts w:hint="default" w:ascii="Times New Roman" w:hAnsi="Times New Roman" w:eastAsia="宋体" w:cs="Times New Roman"/>
          <w:bCs/>
          <w:color w:val="FF0000"/>
          <w:kern w:val="0"/>
          <w:szCs w:val="21"/>
          <w:highlight w:val="none"/>
        </w:rPr>
      </w:pPr>
      <w:r>
        <w:rPr>
          <w:rFonts w:hint="default" w:ascii="Times New Roman" w:hAnsi="Times New Roman" w:eastAsia="宋体" w:cs="Times New Roman"/>
          <w:bCs/>
          <w:color w:val="FF0000"/>
          <w:kern w:val="0"/>
          <w:szCs w:val="21"/>
          <w:highlight w:val="none"/>
        </w:rPr>
        <w:t>第二处，在“项目名称”下划线处如实填写采购项目名称；</w:t>
      </w:r>
    </w:p>
    <w:p w14:paraId="0AA52839">
      <w:pPr>
        <w:pageBreakBefore w:val="0"/>
        <w:kinsoku/>
        <w:overflowPunct/>
        <w:topLinePunct w:val="0"/>
        <w:autoSpaceDE/>
        <w:autoSpaceDN/>
        <w:bidi w:val="0"/>
        <w:spacing w:beforeAutospacing="0" w:afterAutospacing="0" w:line="240" w:lineRule="auto"/>
        <w:ind w:left="0" w:leftChars="0" w:right="0" w:firstLine="0" w:firstLineChars="0"/>
        <w:outlineLvl w:val="9"/>
        <w:rPr>
          <w:rFonts w:hint="default" w:ascii="Times New Roman" w:hAnsi="Times New Roman" w:eastAsia="宋体" w:cs="Times New Roman"/>
          <w:bCs/>
          <w:color w:val="FF0000"/>
          <w:kern w:val="0"/>
          <w:szCs w:val="21"/>
          <w:highlight w:val="none"/>
        </w:rPr>
      </w:pPr>
      <w:r>
        <w:rPr>
          <w:rFonts w:hint="default" w:ascii="Times New Roman" w:hAnsi="Times New Roman" w:eastAsia="宋体" w:cs="Times New Roman"/>
          <w:bCs/>
          <w:color w:val="FF0000"/>
          <w:kern w:val="0"/>
          <w:szCs w:val="21"/>
          <w:highlight w:val="none"/>
        </w:rPr>
        <w:t>第三处，在“标的名称”下划线处填写所采购货物（标的）的具体名称（以招标文件第一册第三章用户需求书“货物清单明细”的“货物名称”一栏为准）；如果涉及多项货物（标的）为同一企业制造，“标的名称”下划线处可以如实填写多项货物；</w:t>
      </w:r>
    </w:p>
    <w:p w14:paraId="7903C155">
      <w:pPr>
        <w:pageBreakBefore w:val="0"/>
        <w:kinsoku/>
        <w:overflowPunct/>
        <w:topLinePunct w:val="0"/>
        <w:autoSpaceDE/>
        <w:autoSpaceDN/>
        <w:bidi w:val="0"/>
        <w:spacing w:beforeAutospacing="0" w:afterAutospacing="0" w:line="240" w:lineRule="auto"/>
        <w:ind w:left="0" w:leftChars="0" w:right="0" w:firstLine="0" w:firstLineChars="0"/>
        <w:outlineLvl w:val="9"/>
        <w:rPr>
          <w:rFonts w:hint="default" w:ascii="Times New Roman" w:hAnsi="Times New Roman" w:eastAsia="宋体" w:cs="Times New Roman"/>
          <w:bCs/>
          <w:color w:val="FF0000"/>
          <w:kern w:val="0"/>
          <w:szCs w:val="21"/>
          <w:highlight w:val="none"/>
        </w:rPr>
      </w:pPr>
      <w:r>
        <w:rPr>
          <w:rFonts w:hint="default" w:ascii="Times New Roman" w:hAnsi="Times New Roman" w:eastAsia="宋体" w:cs="Times New Roman"/>
          <w:bCs/>
          <w:color w:val="FF0000"/>
          <w:kern w:val="0"/>
          <w:szCs w:val="21"/>
          <w:highlight w:val="none"/>
        </w:rPr>
        <w:t>第四处，在“招标文件中明确的所属行业”下划线处填写采购标的对应的中小企业划分标准所属行业（所属行业可在招标文件第一册第二章“对通用条款的补充内容及其他关键信息”章节查看）；</w:t>
      </w:r>
    </w:p>
    <w:p w14:paraId="2EB663ED">
      <w:pPr>
        <w:pageBreakBefore w:val="0"/>
        <w:kinsoku/>
        <w:overflowPunct/>
        <w:topLinePunct w:val="0"/>
        <w:autoSpaceDE/>
        <w:autoSpaceDN/>
        <w:bidi w:val="0"/>
        <w:spacing w:beforeAutospacing="0" w:afterAutospacing="0" w:line="240" w:lineRule="auto"/>
        <w:ind w:left="0" w:leftChars="0" w:right="0" w:firstLine="0" w:firstLineChars="0"/>
        <w:outlineLvl w:val="9"/>
        <w:rPr>
          <w:rFonts w:hint="default" w:ascii="Times New Roman" w:hAnsi="Times New Roman" w:eastAsia="宋体" w:cs="Times New Roman"/>
          <w:bCs/>
          <w:color w:val="FF0000"/>
          <w:kern w:val="0"/>
          <w:szCs w:val="21"/>
          <w:highlight w:val="none"/>
        </w:rPr>
      </w:pPr>
      <w:r>
        <w:rPr>
          <w:rFonts w:hint="default" w:ascii="Times New Roman" w:hAnsi="Times New Roman" w:eastAsia="宋体" w:cs="Times New Roman"/>
          <w:bCs/>
          <w:color w:val="FF0000"/>
          <w:kern w:val="0"/>
          <w:szCs w:val="21"/>
          <w:highlight w:val="none"/>
        </w:rPr>
        <w:t>第五处，在“企业名称”下划线处如实填写制造商名称；在“从业人员”、“营业收入”、“资产总额”下划线处如实填写从业人员、营业收入、资产总额；在“中型企业、小型企业、微型企业”下划线处如实依照300号文填写相应的企业类型；从业人员、营业收入、资产总额填报上一年度数据，无上一年度数据的新成立企业可以不填报。</w:t>
      </w:r>
    </w:p>
    <w:p w14:paraId="35F3040F">
      <w:pPr>
        <w:pageBreakBefore w:val="0"/>
        <w:kinsoku/>
        <w:overflowPunct/>
        <w:topLinePunct w:val="0"/>
        <w:autoSpaceDE/>
        <w:autoSpaceDN/>
        <w:bidi w:val="0"/>
        <w:spacing w:beforeAutospacing="0" w:afterAutospacing="0" w:line="240" w:lineRule="auto"/>
        <w:ind w:left="0" w:leftChars="0" w:right="0" w:firstLine="0" w:firstLineChars="0"/>
        <w:outlineLvl w:val="9"/>
        <w:rPr>
          <w:rFonts w:hint="default" w:ascii="Times New Roman" w:hAnsi="Times New Roman" w:eastAsia="宋体" w:cs="Times New Roman"/>
          <w:bCs/>
          <w:color w:val="FF0000"/>
          <w:kern w:val="0"/>
          <w:szCs w:val="21"/>
          <w:highlight w:val="none"/>
        </w:rPr>
      </w:pPr>
      <w:r>
        <w:rPr>
          <w:rFonts w:hint="default" w:ascii="Times New Roman" w:hAnsi="Times New Roman" w:eastAsia="宋体" w:cs="Times New Roman"/>
          <w:bCs/>
          <w:color w:val="FF0000"/>
          <w:kern w:val="0"/>
          <w:szCs w:val="21"/>
          <w:highlight w:val="none"/>
        </w:rPr>
        <w:t>（2）声明是残疾人福利性单位须填写《残疾人福利性单位声明函》的相关内容，具体参照以上《中小企业声明函》填写要求执行。</w:t>
      </w:r>
    </w:p>
    <w:p w14:paraId="416ACB49">
      <w:pPr>
        <w:pageBreakBefore w:val="0"/>
        <w:kinsoku/>
        <w:overflowPunct/>
        <w:topLinePunct w:val="0"/>
        <w:autoSpaceDE/>
        <w:autoSpaceDN/>
        <w:bidi w:val="0"/>
        <w:spacing w:beforeAutospacing="0" w:afterAutospacing="0" w:line="240" w:lineRule="auto"/>
        <w:ind w:left="0" w:leftChars="0" w:right="0" w:firstLine="0" w:firstLineChars="0"/>
        <w:outlineLvl w:val="9"/>
        <w:rPr>
          <w:rFonts w:hint="default" w:ascii="Times New Roman" w:hAnsi="Times New Roman" w:eastAsia="宋体" w:cs="Times New Roman"/>
          <w:bCs/>
          <w:color w:val="FF0000"/>
          <w:kern w:val="0"/>
          <w:szCs w:val="21"/>
          <w:highlight w:val="none"/>
        </w:rPr>
      </w:pPr>
      <w:r>
        <w:rPr>
          <w:rFonts w:hint="default" w:ascii="Times New Roman" w:hAnsi="Times New Roman" w:eastAsia="宋体" w:cs="Times New Roman"/>
          <w:bCs/>
          <w:color w:val="FF0000"/>
          <w:kern w:val="0"/>
          <w:szCs w:val="21"/>
          <w:highlight w:val="none"/>
        </w:rPr>
        <w:t>（3）声明是监狱企业须填写《监狱企业声明函》的三项内容（填写位置的字体已加粗），具体参照以上《中小企业声明函》填写要求执行。</w:t>
      </w:r>
    </w:p>
    <w:p w14:paraId="4C0C912C">
      <w:pPr>
        <w:pageBreakBefore w:val="0"/>
        <w:kinsoku/>
        <w:overflowPunct/>
        <w:topLinePunct w:val="0"/>
        <w:autoSpaceDE/>
        <w:autoSpaceDN/>
        <w:bidi w:val="0"/>
        <w:spacing w:beforeAutospacing="0" w:afterAutospacing="0" w:line="240" w:lineRule="auto"/>
        <w:ind w:left="0" w:leftChars="0" w:right="0" w:firstLine="0" w:firstLineChars="0"/>
        <w:outlineLvl w:val="9"/>
        <w:rPr>
          <w:rFonts w:hint="default" w:ascii="Times New Roman" w:hAnsi="Times New Roman" w:eastAsia="宋体" w:cs="Times New Roman"/>
          <w:b/>
          <w:bCs w:val="0"/>
          <w:color w:val="FF0000"/>
          <w:kern w:val="0"/>
          <w:szCs w:val="21"/>
          <w:highlight w:val="green"/>
          <w:u w:val="single"/>
          <w:lang w:eastAsia="zh-CN"/>
        </w:rPr>
      </w:pPr>
      <w:r>
        <w:rPr>
          <w:rFonts w:hint="default" w:ascii="Times New Roman" w:hAnsi="Times New Roman" w:eastAsia="宋体" w:cs="Times New Roman"/>
          <w:b/>
          <w:bCs w:val="0"/>
          <w:color w:val="FF0000"/>
          <w:kern w:val="0"/>
          <w:szCs w:val="21"/>
          <w:highlight w:val="green"/>
          <w:u w:val="single"/>
          <w:lang w:eastAsia="zh-CN"/>
        </w:rPr>
        <w:t>（</w:t>
      </w:r>
      <w:r>
        <w:rPr>
          <w:rFonts w:hint="default" w:ascii="Times New Roman" w:hAnsi="Times New Roman" w:eastAsia="宋体" w:cs="Times New Roman"/>
          <w:b/>
          <w:bCs w:val="0"/>
          <w:color w:val="FF0000"/>
          <w:kern w:val="0"/>
          <w:szCs w:val="21"/>
          <w:highlight w:val="green"/>
          <w:u w:val="single"/>
          <w:lang w:val="en-US" w:eastAsia="zh-CN"/>
        </w:rPr>
        <w:t>4</w:t>
      </w:r>
      <w:r>
        <w:rPr>
          <w:rFonts w:hint="default" w:ascii="Times New Roman" w:hAnsi="Times New Roman" w:eastAsia="宋体" w:cs="Times New Roman"/>
          <w:b/>
          <w:bCs w:val="0"/>
          <w:color w:val="FF0000"/>
          <w:kern w:val="0"/>
          <w:szCs w:val="21"/>
          <w:highlight w:val="green"/>
          <w:u w:val="single"/>
          <w:lang w:eastAsia="zh-CN"/>
        </w:rPr>
        <w:t>）从业人员、营业收入、资产总额填报上一年度数据，无上一年度数据的新成立企业可不填报；《中小企业声明函》中制造商、承接/承建企业所属行业应当与招标文件要求的行业相一致，供应商如有疑问，可根据《国民经济行业分类》（GB/T4754-2002），结合《关于印发中小企业划型标准规定的通知》（工信部联企业〔2011〕300 号）进行判断。事业单位、社会组织等非企业主体不享受中小企业扶持政策，但事业单位、社会组织等非企业主体提供全部由中小企业制造的货物参加货物采购项目的除外。</w:t>
      </w:r>
    </w:p>
    <w:p w14:paraId="04A72164">
      <w:pPr>
        <w:pageBreakBefore w:val="0"/>
        <w:kinsoku/>
        <w:overflowPunct/>
        <w:topLinePunct w:val="0"/>
        <w:autoSpaceDE/>
        <w:autoSpaceDN/>
        <w:bidi w:val="0"/>
        <w:spacing w:beforeAutospacing="0" w:afterAutospacing="0" w:line="240" w:lineRule="auto"/>
        <w:ind w:left="0" w:leftChars="0" w:right="0" w:firstLine="0" w:firstLineChars="0"/>
        <w:outlineLvl w:val="9"/>
        <w:rPr>
          <w:rFonts w:hint="default" w:ascii="Times New Roman" w:hAnsi="Times New Roman" w:eastAsia="宋体" w:cs="Times New Roman"/>
          <w:highlight w:val="none"/>
        </w:rPr>
      </w:pPr>
      <w:r>
        <w:rPr>
          <w:rFonts w:hint="default" w:ascii="Times New Roman" w:hAnsi="Times New Roman" w:eastAsia="宋体" w:cs="Times New Roman"/>
          <w:bCs/>
          <w:color w:val="FF0000"/>
          <w:kern w:val="0"/>
          <w:szCs w:val="21"/>
          <w:highlight w:val="none"/>
        </w:rPr>
        <w:t>5、声明函的有效性最终由评审委员会判定；如评审委员会判定声明函无效，相关供应商不享受</w:t>
      </w:r>
      <w:r>
        <w:rPr>
          <w:rFonts w:hint="default" w:ascii="Times New Roman" w:hAnsi="Times New Roman" w:eastAsia="宋体" w:cs="Times New Roman"/>
          <w:color w:val="FF0000"/>
          <w:szCs w:val="21"/>
          <w:highlight w:val="none"/>
        </w:rPr>
        <w:t>价格扣除</w:t>
      </w:r>
      <w:r>
        <w:rPr>
          <w:rFonts w:hint="default" w:ascii="Times New Roman" w:hAnsi="Times New Roman" w:eastAsia="宋体" w:cs="Times New Roman"/>
          <w:bCs/>
          <w:color w:val="FF0000"/>
          <w:kern w:val="0"/>
          <w:szCs w:val="21"/>
          <w:highlight w:val="none"/>
        </w:rPr>
        <w:t>（但不作投标无效处理）。</w:t>
      </w:r>
    </w:p>
    <w:p w14:paraId="1106E596">
      <w:pPr>
        <w:outlineLvl w:val="9"/>
        <w:rPr>
          <w:rFonts w:hint="default" w:ascii="Times New Roman" w:hAnsi="Times New Roman" w:eastAsia="宋体" w:cs="Times New Roman"/>
          <w:highlight w:val="none"/>
        </w:rPr>
      </w:pPr>
      <w:r>
        <w:rPr>
          <w:rFonts w:hint="default" w:ascii="Times New Roman" w:hAnsi="Times New Roman" w:eastAsia="宋体" w:cs="Times New Roman"/>
          <w:highlight w:val="none"/>
        </w:rPr>
        <w:br w:type="page"/>
      </w:r>
    </w:p>
    <w:p w14:paraId="5456E64C">
      <w:pPr>
        <w:pageBreakBefore w:val="0"/>
        <w:kinsoku/>
        <w:overflowPunct/>
        <w:topLinePunct w:val="0"/>
        <w:autoSpaceDE/>
        <w:autoSpaceDN/>
        <w:bidi w:val="0"/>
        <w:spacing w:beforeAutospacing="0" w:afterAutospacing="0" w:line="360" w:lineRule="auto"/>
        <w:ind w:left="0" w:leftChars="0" w:right="0" w:firstLine="0" w:firstLineChars="0"/>
        <w:outlineLvl w:val="9"/>
        <w:rPr>
          <w:rFonts w:hint="default" w:ascii="Times New Roman" w:hAnsi="Times New Roman" w:eastAsia="宋体" w:cs="Times New Roman"/>
          <w:highlight w:val="none"/>
        </w:rPr>
      </w:pPr>
    </w:p>
    <w:bookmarkEnd w:id="56"/>
    <w:p w14:paraId="7B913F71">
      <w:pPr>
        <w:pageBreakBefore w:val="0"/>
        <w:kinsoku/>
        <w:overflowPunct/>
        <w:topLinePunct w:val="0"/>
        <w:autoSpaceDE/>
        <w:autoSpaceDN/>
        <w:bidi w:val="0"/>
        <w:spacing w:beforeAutospacing="0" w:afterAutospacing="0" w:line="360" w:lineRule="auto"/>
        <w:ind w:left="0" w:leftChars="0" w:right="0" w:firstLine="0" w:firstLineChars="0"/>
        <w:jc w:val="center"/>
        <w:outlineLvl w:val="9"/>
        <w:rPr>
          <w:rFonts w:hint="default" w:ascii="Times New Roman" w:hAnsi="Times New Roman" w:eastAsia="宋体" w:cs="Times New Roman"/>
          <w:b/>
          <w:sz w:val="24"/>
          <w:highlight w:val="none"/>
        </w:rPr>
      </w:pPr>
      <w:r>
        <w:rPr>
          <w:rFonts w:hint="default" w:ascii="Times New Roman" w:hAnsi="Times New Roman" w:eastAsia="宋体" w:cs="Times New Roman"/>
          <w:b/>
          <w:sz w:val="24"/>
          <w:highlight w:val="none"/>
        </w:rPr>
        <w:t xml:space="preserve">1、中小企业声明函（服务） </w:t>
      </w:r>
    </w:p>
    <w:p w14:paraId="25BBB35E">
      <w:pPr>
        <w:pStyle w:val="44"/>
        <w:outlineLvl w:val="9"/>
        <w:rPr>
          <w:rFonts w:hint="default" w:ascii="Times New Roman" w:hAnsi="Times New Roman" w:cs="Times New Roman"/>
        </w:rPr>
      </w:pPr>
    </w:p>
    <w:p w14:paraId="5D13150D">
      <w:pPr>
        <w:pageBreakBefore w:val="0"/>
        <w:kinsoku/>
        <w:overflowPunct/>
        <w:topLinePunct w:val="0"/>
        <w:autoSpaceDE/>
        <w:autoSpaceDN/>
        <w:bidi w:val="0"/>
        <w:spacing w:beforeAutospacing="0" w:afterAutospacing="0" w:line="360" w:lineRule="auto"/>
        <w:ind w:left="0" w:leftChars="0" w:right="0" w:firstLine="0" w:firstLineChars="0"/>
        <w:outlineLvl w:val="9"/>
        <w:rPr>
          <w:rFonts w:hint="default" w:ascii="Times New Roman" w:hAnsi="Times New Roman" w:eastAsia="宋体" w:cs="Times New Roman"/>
          <w:szCs w:val="21"/>
          <w:highlight w:val="none"/>
        </w:rPr>
      </w:pPr>
      <w:bookmarkStart w:id="58" w:name="_Hlk73562275"/>
      <w:r>
        <w:rPr>
          <w:rFonts w:hint="default" w:ascii="Times New Roman" w:hAnsi="Times New Roman" w:eastAsia="宋体" w:cs="Times New Roman"/>
          <w:szCs w:val="21"/>
          <w:highlight w:val="none"/>
        </w:rPr>
        <w:t>本公司（联合体）郑重声明，根据《政府采购促进中小企业发展管理办法》（财库﹝2020﹞46 号）的规定，本公司（联合体）参加</w:t>
      </w:r>
      <w:r>
        <w:rPr>
          <w:rFonts w:hint="default" w:ascii="Times New Roman" w:hAnsi="Times New Roman" w:eastAsia="宋体" w:cs="Times New Roman"/>
          <w:szCs w:val="21"/>
          <w:highlight w:val="none"/>
          <w:u w:val="single"/>
        </w:rPr>
        <w:t>（单位名称）</w:t>
      </w:r>
      <w:r>
        <w:rPr>
          <w:rFonts w:hint="default" w:ascii="Times New Roman" w:hAnsi="Times New Roman" w:eastAsia="宋体" w:cs="Times New Roman"/>
          <w:szCs w:val="21"/>
          <w:highlight w:val="none"/>
        </w:rPr>
        <w:t>的</w:t>
      </w:r>
      <w:r>
        <w:rPr>
          <w:rFonts w:hint="default" w:ascii="Times New Roman" w:hAnsi="Times New Roman" w:eastAsia="宋体" w:cs="Times New Roman"/>
          <w:szCs w:val="21"/>
          <w:highlight w:val="none"/>
          <w:u w:val="single"/>
        </w:rPr>
        <w:t>（项目名称）</w:t>
      </w:r>
      <w:r>
        <w:rPr>
          <w:rFonts w:hint="default" w:ascii="Times New Roman" w:hAnsi="Times New Roman" w:eastAsia="宋体" w:cs="Times New Roman"/>
          <w:szCs w:val="21"/>
          <w:highlight w:val="none"/>
        </w:rPr>
        <w:t>采购活动，服务全部由符合政策要求的中小企业承接。相关企业（含联合体中的中小企业、签订分包意向协议的中小企业）的具体情况如下：</w:t>
      </w:r>
    </w:p>
    <w:p w14:paraId="6A08BD2F">
      <w:pPr>
        <w:pageBreakBefore w:val="0"/>
        <w:kinsoku/>
        <w:overflowPunct/>
        <w:topLinePunct w:val="0"/>
        <w:autoSpaceDE/>
        <w:autoSpaceDN/>
        <w:bidi w:val="0"/>
        <w:spacing w:beforeAutospacing="0" w:afterAutospacing="0" w:line="360" w:lineRule="auto"/>
        <w:ind w:left="0" w:leftChars="0" w:right="0" w:firstLine="0" w:firstLineChars="0"/>
        <w:outlineLvl w:val="9"/>
        <w:rPr>
          <w:rFonts w:hint="default" w:ascii="Times New Roman" w:hAnsi="Times New Roman" w:eastAsia="宋体" w:cs="Times New Roman"/>
          <w:szCs w:val="21"/>
          <w:highlight w:val="none"/>
          <w:u w:val="single"/>
        </w:rPr>
      </w:pPr>
      <w:r>
        <w:rPr>
          <w:rFonts w:hint="default" w:ascii="Times New Roman" w:hAnsi="Times New Roman" w:eastAsia="宋体" w:cs="Times New Roman"/>
          <w:szCs w:val="21"/>
          <w:highlight w:val="none"/>
        </w:rPr>
        <w:t>1.</w:t>
      </w:r>
      <w:r>
        <w:rPr>
          <w:rFonts w:hint="default" w:ascii="Times New Roman" w:hAnsi="Times New Roman" w:eastAsia="宋体" w:cs="Times New Roman"/>
          <w:szCs w:val="21"/>
          <w:highlight w:val="none"/>
          <w:u w:val="single"/>
        </w:rPr>
        <w:t xml:space="preserve"> （标的名称）</w:t>
      </w:r>
      <w:r>
        <w:rPr>
          <w:rFonts w:hint="default" w:ascii="Times New Roman" w:hAnsi="Times New Roman" w:eastAsia="宋体" w:cs="Times New Roman"/>
          <w:szCs w:val="21"/>
          <w:highlight w:val="none"/>
        </w:rPr>
        <w:t>，属于</w:t>
      </w:r>
      <w:r>
        <w:rPr>
          <w:rFonts w:hint="default" w:ascii="Times New Roman" w:hAnsi="Times New Roman" w:eastAsia="宋体" w:cs="Times New Roman"/>
          <w:szCs w:val="21"/>
          <w:highlight w:val="none"/>
          <w:u w:val="single"/>
        </w:rPr>
        <w:t>（采购文件中明确的所属行业）</w:t>
      </w:r>
      <w:r>
        <w:rPr>
          <w:rFonts w:hint="default" w:ascii="Times New Roman" w:hAnsi="Times New Roman" w:eastAsia="宋体" w:cs="Times New Roman"/>
          <w:szCs w:val="21"/>
          <w:highlight w:val="none"/>
        </w:rPr>
        <w:t>；承建（承接）企业为</w:t>
      </w:r>
      <w:r>
        <w:rPr>
          <w:rFonts w:hint="default" w:ascii="Times New Roman" w:hAnsi="Times New Roman" w:eastAsia="宋体" w:cs="Times New Roman"/>
          <w:szCs w:val="21"/>
          <w:highlight w:val="none"/>
          <w:u w:val="single"/>
        </w:rPr>
        <w:t>（企业名称）</w:t>
      </w:r>
      <w:r>
        <w:rPr>
          <w:rFonts w:hint="default" w:ascii="Times New Roman" w:hAnsi="Times New Roman" w:eastAsia="宋体" w:cs="Times New Roman"/>
          <w:szCs w:val="21"/>
          <w:highlight w:val="none"/>
        </w:rPr>
        <w:t>，从业人员</w:t>
      </w:r>
      <w:r>
        <w:rPr>
          <w:rFonts w:hint="default" w:ascii="Times New Roman" w:hAnsi="Times New Roman" w:eastAsia="宋体" w:cs="Times New Roman"/>
          <w:szCs w:val="21"/>
          <w:highlight w:val="none"/>
          <w:u w:val="single"/>
        </w:rPr>
        <w:t xml:space="preserve"> </w:t>
      </w:r>
      <w:r>
        <w:rPr>
          <w:rFonts w:hint="default" w:ascii="Times New Roman" w:hAnsi="Times New Roman" w:eastAsia="宋体" w:cs="Times New Roman"/>
          <w:szCs w:val="21"/>
          <w:highlight w:val="none"/>
          <w:u w:val="single"/>
        </w:rPr>
        <w:tab/>
      </w:r>
      <w:r>
        <w:rPr>
          <w:rFonts w:hint="default" w:ascii="Times New Roman" w:hAnsi="Times New Roman" w:eastAsia="宋体" w:cs="Times New Roman"/>
          <w:szCs w:val="21"/>
          <w:highlight w:val="none"/>
        </w:rPr>
        <w:t xml:space="preserve">人，营业收入为 </w:t>
      </w:r>
      <w:r>
        <w:rPr>
          <w:rFonts w:hint="default" w:ascii="Times New Roman" w:hAnsi="Times New Roman" w:eastAsia="宋体" w:cs="Times New Roman"/>
          <w:szCs w:val="21"/>
          <w:highlight w:val="none"/>
          <w:u w:val="single"/>
        </w:rPr>
        <w:t xml:space="preserve"> </w:t>
      </w:r>
      <w:r>
        <w:rPr>
          <w:rFonts w:hint="default" w:ascii="Times New Roman" w:hAnsi="Times New Roman" w:eastAsia="宋体" w:cs="Times New Roman"/>
          <w:szCs w:val="21"/>
          <w:highlight w:val="none"/>
          <w:u w:val="single"/>
        </w:rPr>
        <w:tab/>
      </w:r>
      <w:r>
        <w:rPr>
          <w:rFonts w:hint="default" w:ascii="Times New Roman" w:hAnsi="Times New Roman" w:eastAsia="宋体" w:cs="Times New Roman"/>
          <w:szCs w:val="21"/>
          <w:highlight w:val="none"/>
        </w:rPr>
        <w:t xml:space="preserve">万元，资产总额为 </w:t>
      </w:r>
      <w:r>
        <w:rPr>
          <w:rFonts w:hint="default" w:ascii="Times New Roman" w:hAnsi="Times New Roman" w:eastAsia="宋体" w:cs="Times New Roman"/>
          <w:szCs w:val="21"/>
          <w:highlight w:val="none"/>
          <w:u w:val="single"/>
        </w:rPr>
        <w:t xml:space="preserve"> </w:t>
      </w:r>
      <w:r>
        <w:rPr>
          <w:rFonts w:hint="default" w:ascii="Times New Roman" w:hAnsi="Times New Roman" w:eastAsia="宋体" w:cs="Times New Roman"/>
          <w:szCs w:val="21"/>
          <w:highlight w:val="none"/>
          <w:u w:val="single"/>
        </w:rPr>
        <w:tab/>
      </w:r>
      <w:r>
        <w:rPr>
          <w:rFonts w:hint="default" w:ascii="Times New Roman" w:hAnsi="Times New Roman" w:eastAsia="宋体" w:cs="Times New Roman"/>
          <w:szCs w:val="21"/>
          <w:highlight w:val="none"/>
        </w:rPr>
        <w:t>万元，属于</w:t>
      </w:r>
      <w:r>
        <w:rPr>
          <w:rFonts w:hint="default" w:ascii="Times New Roman" w:hAnsi="Times New Roman" w:eastAsia="宋体" w:cs="Times New Roman"/>
          <w:szCs w:val="21"/>
          <w:highlight w:val="none"/>
          <w:u w:val="single"/>
        </w:rPr>
        <w:t>（中型企业、</w:t>
      </w:r>
    </w:p>
    <w:p w14:paraId="3DD4802B">
      <w:pPr>
        <w:pageBreakBefore w:val="0"/>
        <w:kinsoku/>
        <w:overflowPunct/>
        <w:topLinePunct w:val="0"/>
        <w:autoSpaceDE/>
        <w:autoSpaceDN/>
        <w:bidi w:val="0"/>
        <w:spacing w:beforeAutospacing="0" w:afterAutospacing="0" w:line="360" w:lineRule="auto"/>
        <w:ind w:left="0" w:leftChars="0" w:right="0" w:firstLine="0" w:firstLineChars="0"/>
        <w:outlineLvl w:val="9"/>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u w:val="single"/>
        </w:rPr>
        <w:t>小型企业、微型企业）</w:t>
      </w:r>
      <w:r>
        <w:rPr>
          <w:rFonts w:hint="default" w:ascii="Times New Roman" w:hAnsi="Times New Roman" w:eastAsia="宋体" w:cs="Times New Roman"/>
          <w:szCs w:val="21"/>
          <w:highlight w:val="none"/>
        </w:rPr>
        <w:t>；</w:t>
      </w:r>
    </w:p>
    <w:p w14:paraId="5C869A13">
      <w:pPr>
        <w:pageBreakBefore w:val="0"/>
        <w:kinsoku/>
        <w:overflowPunct/>
        <w:topLinePunct w:val="0"/>
        <w:autoSpaceDE/>
        <w:autoSpaceDN/>
        <w:bidi w:val="0"/>
        <w:spacing w:beforeAutospacing="0" w:afterAutospacing="0" w:line="360" w:lineRule="auto"/>
        <w:ind w:left="0" w:leftChars="0" w:right="0" w:firstLine="0" w:firstLineChars="0"/>
        <w:outlineLvl w:val="9"/>
        <w:rPr>
          <w:rFonts w:hint="default" w:ascii="Times New Roman" w:hAnsi="Times New Roman" w:eastAsia="宋体" w:cs="Times New Roman"/>
          <w:szCs w:val="21"/>
          <w:highlight w:val="none"/>
          <w:u w:val="single"/>
        </w:rPr>
      </w:pPr>
      <w:r>
        <w:rPr>
          <w:rFonts w:hint="default" w:ascii="Times New Roman" w:hAnsi="Times New Roman" w:eastAsia="宋体" w:cs="Times New Roman"/>
          <w:szCs w:val="21"/>
          <w:highlight w:val="none"/>
        </w:rPr>
        <w:t xml:space="preserve">2. </w:t>
      </w:r>
      <w:r>
        <w:rPr>
          <w:rFonts w:hint="default" w:ascii="Times New Roman" w:hAnsi="Times New Roman" w:eastAsia="宋体" w:cs="Times New Roman"/>
          <w:szCs w:val="21"/>
          <w:highlight w:val="none"/>
          <w:u w:val="single"/>
        </w:rPr>
        <w:t>（标的名称）</w:t>
      </w:r>
      <w:r>
        <w:rPr>
          <w:rFonts w:hint="default" w:ascii="Times New Roman" w:hAnsi="Times New Roman" w:eastAsia="宋体" w:cs="Times New Roman"/>
          <w:szCs w:val="21"/>
          <w:highlight w:val="none"/>
        </w:rPr>
        <w:t>，属于</w:t>
      </w:r>
      <w:r>
        <w:rPr>
          <w:rFonts w:hint="default" w:ascii="Times New Roman" w:hAnsi="Times New Roman" w:eastAsia="宋体" w:cs="Times New Roman"/>
          <w:szCs w:val="21"/>
          <w:highlight w:val="none"/>
          <w:u w:val="single"/>
        </w:rPr>
        <w:t>（采购文件中明确的所属行业）</w:t>
      </w:r>
      <w:r>
        <w:rPr>
          <w:rFonts w:hint="default" w:ascii="Times New Roman" w:hAnsi="Times New Roman" w:eastAsia="宋体" w:cs="Times New Roman"/>
          <w:szCs w:val="21"/>
          <w:highlight w:val="none"/>
        </w:rPr>
        <w:t>；承建（承接）企业为</w:t>
      </w:r>
      <w:r>
        <w:rPr>
          <w:rFonts w:hint="default" w:ascii="Times New Roman" w:hAnsi="Times New Roman" w:eastAsia="宋体" w:cs="Times New Roman"/>
          <w:szCs w:val="21"/>
          <w:highlight w:val="none"/>
          <w:u w:val="single"/>
        </w:rPr>
        <w:t>（企业名称）</w:t>
      </w:r>
      <w:r>
        <w:rPr>
          <w:rFonts w:hint="default" w:ascii="Times New Roman" w:hAnsi="Times New Roman" w:eastAsia="宋体" w:cs="Times New Roman"/>
          <w:szCs w:val="21"/>
          <w:highlight w:val="none"/>
        </w:rPr>
        <w:t>，从业人员</w:t>
      </w:r>
      <w:r>
        <w:rPr>
          <w:rFonts w:hint="default" w:ascii="Times New Roman" w:hAnsi="Times New Roman" w:eastAsia="宋体" w:cs="Times New Roman"/>
          <w:szCs w:val="21"/>
          <w:highlight w:val="none"/>
          <w:u w:val="single"/>
        </w:rPr>
        <w:t xml:space="preserve"> </w:t>
      </w:r>
      <w:r>
        <w:rPr>
          <w:rFonts w:hint="default" w:ascii="Times New Roman" w:hAnsi="Times New Roman" w:eastAsia="宋体" w:cs="Times New Roman"/>
          <w:szCs w:val="21"/>
          <w:highlight w:val="none"/>
          <w:u w:val="single"/>
        </w:rPr>
        <w:tab/>
      </w:r>
      <w:r>
        <w:rPr>
          <w:rFonts w:hint="default" w:ascii="Times New Roman" w:hAnsi="Times New Roman" w:eastAsia="宋体" w:cs="Times New Roman"/>
          <w:szCs w:val="21"/>
          <w:highlight w:val="none"/>
        </w:rPr>
        <w:t>人，营业收入为</w:t>
      </w:r>
      <w:r>
        <w:rPr>
          <w:rFonts w:hint="default" w:ascii="Times New Roman" w:hAnsi="Times New Roman" w:eastAsia="宋体" w:cs="Times New Roman"/>
          <w:szCs w:val="21"/>
          <w:highlight w:val="none"/>
          <w:u w:val="single"/>
        </w:rPr>
        <w:t xml:space="preserve"> </w:t>
      </w:r>
      <w:r>
        <w:rPr>
          <w:rFonts w:hint="default" w:ascii="Times New Roman" w:hAnsi="Times New Roman" w:eastAsia="宋体" w:cs="Times New Roman"/>
          <w:szCs w:val="21"/>
          <w:highlight w:val="none"/>
          <w:u w:val="single"/>
        </w:rPr>
        <w:tab/>
      </w:r>
      <w:r>
        <w:rPr>
          <w:rFonts w:hint="default" w:ascii="Times New Roman" w:hAnsi="Times New Roman" w:eastAsia="宋体" w:cs="Times New Roman"/>
          <w:szCs w:val="21"/>
          <w:highlight w:val="none"/>
        </w:rPr>
        <w:t xml:space="preserve">万元，资产总额为 </w:t>
      </w:r>
      <w:r>
        <w:rPr>
          <w:rFonts w:hint="default" w:ascii="Times New Roman" w:hAnsi="Times New Roman" w:eastAsia="宋体" w:cs="Times New Roman"/>
          <w:szCs w:val="21"/>
          <w:highlight w:val="none"/>
          <w:u w:val="single"/>
        </w:rPr>
        <w:t xml:space="preserve"> </w:t>
      </w:r>
      <w:r>
        <w:rPr>
          <w:rFonts w:hint="default" w:ascii="Times New Roman" w:hAnsi="Times New Roman" w:eastAsia="宋体" w:cs="Times New Roman"/>
          <w:szCs w:val="21"/>
          <w:highlight w:val="none"/>
          <w:u w:val="single"/>
        </w:rPr>
        <w:tab/>
      </w:r>
      <w:r>
        <w:rPr>
          <w:rFonts w:hint="default" w:ascii="Times New Roman" w:hAnsi="Times New Roman" w:eastAsia="宋体" w:cs="Times New Roman"/>
          <w:szCs w:val="21"/>
          <w:highlight w:val="none"/>
        </w:rPr>
        <w:t>万元，属</w:t>
      </w:r>
      <w:r>
        <w:rPr>
          <w:rFonts w:hint="default" w:ascii="Times New Roman" w:hAnsi="Times New Roman" w:eastAsia="宋体" w:cs="Times New Roman"/>
          <w:szCs w:val="21"/>
          <w:highlight w:val="none"/>
          <w:u w:val="single"/>
        </w:rPr>
        <w:t>于（中型企业、</w:t>
      </w:r>
    </w:p>
    <w:p w14:paraId="2F9868FB">
      <w:pPr>
        <w:pageBreakBefore w:val="0"/>
        <w:kinsoku/>
        <w:overflowPunct/>
        <w:topLinePunct w:val="0"/>
        <w:autoSpaceDE/>
        <w:autoSpaceDN/>
        <w:bidi w:val="0"/>
        <w:spacing w:beforeAutospacing="0" w:afterAutospacing="0" w:line="360" w:lineRule="auto"/>
        <w:ind w:left="0" w:leftChars="0" w:right="0" w:firstLine="0" w:firstLineChars="0"/>
        <w:outlineLvl w:val="9"/>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u w:val="single"/>
        </w:rPr>
        <w:t>小型企业、微型企业）</w:t>
      </w:r>
      <w:r>
        <w:rPr>
          <w:rFonts w:hint="default" w:ascii="Times New Roman" w:hAnsi="Times New Roman" w:eastAsia="宋体" w:cs="Times New Roman"/>
          <w:szCs w:val="21"/>
          <w:highlight w:val="none"/>
        </w:rPr>
        <w:t>；</w:t>
      </w:r>
    </w:p>
    <w:p w14:paraId="28B25E41">
      <w:pPr>
        <w:pageBreakBefore w:val="0"/>
        <w:kinsoku/>
        <w:overflowPunct/>
        <w:topLinePunct w:val="0"/>
        <w:autoSpaceDE/>
        <w:autoSpaceDN/>
        <w:bidi w:val="0"/>
        <w:spacing w:beforeAutospacing="0" w:afterAutospacing="0" w:line="360" w:lineRule="auto"/>
        <w:ind w:left="0" w:leftChars="0" w:right="0" w:firstLine="0" w:firstLineChars="0"/>
        <w:outlineLvl w:val="9"/>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t xml:space="preserve">…… </w:t>
      </w:r>
    </w:p>
    <w:p w14:paraId="68D15D52">
      <w:pPr>
        <w:pageBreakBefore w:val="0"/>
        <w:kinsoku/>
        <w:overflowPunct/>
        <w:topLinePunct w:val="0"/>
        <w:autoSpaceDE/>
        <w:autoSpaceDN/>
        <w:bidi w:val="0"/>
        <w:spacing w:beforeAutospacing="0" w:afterAutospacing="0" w:line="360" w:lineRule="auto"/>
        <w:ind w:left="0" w:leftChars="0" w:right="0" w:firstLine="0" w:firstLineChars="0"/>
        <w:outlineLvl w:val="9"/>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t>以上企业，不属于大企业的分支机构，不存在控股股东为大企业的情形，也不存在与大企业的负责人为同一人的情形。</w:t>
      </w:r>
    </w:p>
    <w:p w14:paraId="33C55073">
      <w:pPr>
        <w:pageBreakBefore w:val="0"/>
        <w:kinsoku/>
        <w:overflowPunct/>
        <w:topLinePunct w:val="0"/>
        <w:autoSpaceDE/>
        <w:autoSpaceDN/>
        <w:bidi w:val="0"/>
        <w:spacing w:beforeAutospacing="0" w:afterAutospacing="0" w:line="360" w:lineRule="auto"/>
        <w:ind w:left="0" w:leftChars="0" w:right="0" w:firstLine="0" w:firstLineChars="0"/>
        <w:outlineLvl w:val="9"/>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t>本企业对上述声明内容的真实性负责。如有虚假，将依法承担相应责任。</w:t>
      </w:r>
    </w:p>
    <w:p w14:paraId="7901881F">
      <w:pPr>
        <w:pageBreakBefore w:val="0"/>
        <w:kinsoku/>
        <w:overflowPunct/>
        <w:topLinePunct w:val="0"/>
        <w:autoSpaceDE/>
        <w:autoSpaceDN/>
        <w:bidi w:val="0"/>
        <w:spacing w:beforeAutospacing="0" w:afterAutospacing="0" w:line="360" w:lineRule="auto"/>
        <w:ind w:left="0" w:leftChars="0" w:right="0" w:firstLine="0" w:firstLineChars="0"/>
        <w:jc w:val="right"/>
        <w:outlineLvl w:val="9"/>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t>企业名称：</w:t>
      </w:r>
    </w:p>
    <w:p w14:paraId="0DF6787E">
      <w:pPr>
        <w:pageBreakBefore w:val="0"/>
        <w:kinsoku/>
        <w:overflowPunct/>
        <w:topLinePunct w:val="0"/>
        <w:autoSpaceDE/>
        <w:autoSpaceDN/>
        <w:bidi w:val="0"/>
        <w:spacing w:beforeAutospacing="0" w:afterAutospacing="0" w:line="360" w:lineRule="auto"/>
        <w:ind w:left="0" w:leftChars="0" w:right="0" w:firstLine="0" w:firstLineChars="0"/>
        <w:jc w:val="right"/>
        <w:outlineLvl w:val="9"/>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t>日 期：</w:t>
      </w:r>
    </w:p>
    <w:p w14:paraId="31BC5C62">
      <w:pPr>
        <w:pStyle w:val="19"/>
        <w:pageBreakBefore w:val="0"/>
        <w:kinsoku/>
        <w:overflowPunct/>
        <w:topLinePunct w:val="0"/>
        <w:autoSpaceDE/>
        <w:autoSpaceDN/>
        <w:bidi w:val="0"/>
        <w:spacing w:beforeAutospacing="0" w:afterAutospacing="0" w:line="360" w:lineRule="auto"/>
        <w:ind w:left="0" w:leftChars="0" w:right="0" w:firstLine="0" w:firstLineChars="0"/>
        <w:outlineLvl w:val="9"/>
        <w:rPr>
          <w:rFonts w:hint="default" w:ascii="Times New Roman" w:hAnsi="Times New Roman" w:eastAsia="宋体" w:cs="Times New Roman"/>
          <w:b w:val="0"/>
          <w:bCs w:val="0"/>
          <w:kern w:val="2"/>
          <w:sz w:val="21"/>
          <w:szCs w:val="24"/>
          <w:highlight w:val="none"/>
          <w:lang w:val="en-US" w:eastAsia="zh-CN" w:bidi="ar-SA"/>
        </w:rPr>
      </w:pPr>
    </w:p>
    <w:p w14:paraId="4EBBF51C">
      <w:pPr>
        <w:pStyle w:val="19"/>
        <w:pageBreakBefore w:val="0"/>
        <w:kinsoku/>
        <w:overflowPunct/>
        <w:topLinePunct w:val="0"/>
        <w:autoSpaceDE/>
        <w:autoSpaceDN/>
        <w:bidi w:val="0"/>
        <w:spacing w:beforeAutospacing="0" w:afterAutospacing="0" w:line="360" w:lineRule="auto"/>
        <w:ind w:left="0" w:leftChars="0" w:right="0" w:firstLine="0" w:firstLineChars="0"/>
        <w:outlineLvl w:val="9"/>
        <w:rPr>
          <w:rFonts w:hint="default" w:ascii="Times New Roman" w:hAnsi="Times New Roman" w:eastAsia="宋体" w:cs="Times New Roman"/>
          <w:b w:val="0"/>
          <w:bCs w:val="0"/>
          <w:kern w:val="2"/>
          <w:sz w:val="21"/>
          <w:szCs w:val="24"/>
          <w:highlight w:val="none"/>
          <w:lang w:val="en-US" w:eastAsia="zh-CN" w:bidi="ar-SA"/>
        </w:rPr>
      </w:pPr>
      <w:r>
        <w:rPr>
          <w:rFonts w:hint="default" w:ascii="Times New Roman" w:hAnsi="Times New Roman" w:eastAsia="宋体" w:cs="Times New Roman"/>
          <w:b w:val="0"/>
          <w:bCs w:val="0"/>
          <w:kern w:val="2"/>
          <w:sz w:val="21"/>
          <w:szCs w:val="24"/>
          <w:highlight w:val="none"/>
          <w:lang w:val="en-US" w:eastAsia="zh-CN" w:bidi="ar-SA"/>
        </w:rPr>
        <w:t>注： 从业人员、营业收入、资产总额填报上一年度数据，无上一年度数据的新成立企业可不填报。</w:t>
      </w:r>
    </w:p>
    <w:p w14:paraId="1F54C012">
      <w:pPr>
        <w:pageBreakBefore w:val="0"/>
        <w:kinsoku/>
        <w:overflowPunct/>
        <w:topLinePunct w:val="0"/>
        <w:autoSpaceDE/>
        <w:autoSpaceDN/>
        <w:bidi w:val="0"/>
        <w:spacing w:beforeAutospacing="0" w:afterAutospacing="0" w:line="360" w:lineRule="auto"/>
        <w:ind w:left="0" w:leftChars="0" w:right="0" w:firstLine="0" w:firstLineChars="0"/>
        <w:outlineLvl w:val="9"/>
        <w:rPr>
          <w:rFonts w:hint="default" w:ascii="Times New Roman" w:hAnsi="Times New Roman" w:eastAsia="宋体" w:cs="Times New Roman"/>
          <w:szCs w:val="21"/>
          <w:highlight w:val="none"/>
        </w:rPr>
      </w:pPr>
      <w:r>
        <w:rPr>
          <w:rFonts w:hint="default" w:ascii="Times New Roman" w:hAnsi="Times New Roman" w:eastAsia="宋体" w:cs="Times New Roman"/>
          <w:highlight w:val="none"/>
        </w:rPr>
        <w:t>本投标人已知悉《政府采购促进中小企业发展管理办法》（财库〔2020〕 46 号）、《中小企业划型标准规定》（工信部联企〔2011〕 300 号）、《统计上大中小微型企业划分办法（2017）》等规定，承诺提供的声明函内容是真实的，并知悉根据《政府采购促进中小企业发展管理办法》（财库〔2020〕46 号）第二十条规定，投标人按照本办法规定提供声明函内容不实的，属于提供虚假材料谋取中标，依照《政府采购法》等政府采购有关法律法规规定追究相应责任。</w:t>
      </w:r>
      <w:bookmarkEnd w:id="58"/>
    </w:p>
    <w:p w14:paraId="7F56DEFD">
      <w:pPr>
        <w:pageBreakBefore w:val="0"/>
        <w:kinsoku/>
        <w:overflowPunct/>
        <w:topLinePunct w:val="0"/>
        <w:autoSpaceDE/>
        <w:autoSpaceDN/>
        <w:bidi w:val="0"/>
        <w:spacing w:beforeAutospacing="0" w:afterAutospacing="0" w:line="360" w:lineRule="auto"/>
        <w:ind w:left="0" w:leftChars="0" w:right="0" w:firstLine="0" w:firstLineChars="0"/>
        <w:outlineLvl w:val="9"/>
        <w:rPr>
          <w:rFonts w:hint="default" w:ascii="Times New Roman" w:hAnsi="Times New Roman" w:eastAsia="宋体" w:cs="Times New Roman"/>
          <w:highlight w:val="none"/>
        </w:rPr>
      </w:pPr>
    </w:p>
    <w:p w14:paraId="39F1F9AF">
      <w:pPr>
        <w:pageBreakBefore w:val="0"/>
        <w:kinsoku/>
        <w:overflowPunct/>
        <w:topLinePunct w:val="0"/>
        <w:autoSpaceDE/>
        <w:autoSpaceDN/>
        <w:bidi w:val="0"/>
        <w:spacing w:beforeAutospacing="0" w:afterAutospacing="0" w:line="360" w:lineRule="auto"/>
        <w:ind w:left="0" w:leftChars="0" w:right="0" w:firstLine="0" w:firstLineChars="0"/>
        <w:outlineLvl w:val="9"/>
        <w:rPr>
          <w:rFonts w:hint="default" w:ascii="Times New Roman" w:hAnsi="Times New Roman" w:eastAsia="宋体" w:cs="Times New Roman"/>
          <w:highlight w:val="none"/>
        </w:rPr>
      </w:pPr>
    </w:p>
    <w:p w14:paraId="72B16D35">
      <w:pPr>
        <w:pageBreakBefore w:val="0"/>
        <w:kinsoku/>
        <w:overflowPunct/>
        <w:topLinePunct w:val="0"/>
        <w:autoSpaceDE/>
        <w:autoSpaceDN/>
        <w:bidi w:val="0"/>
        <w:spacing w:beforeAutospacing="0" w:afterAutospacing="0" w:line="360" w:lineRule="auto"/>
        <w:ind w:left="0" w:leftChars="0" w:right="0" w:firstLine="0" w:firstLineChars="0"/>
        <w:jc w:val="center"/>
        <w:outlineLvl w:val="9"/>
        <w:rPr>
          <w:rFonts w:hint="default" w:ascii="Times New Roman" w:hAnsi="Times New Roman" w:eastAsia="宋体" w:cs="Times New Roman"/>
          <w:b/>
          <w:sz w:val="24"/>
          <w:highlight w:val="none"/>
        </w:rPr>
      </w:pPr>
      <w:r>
        <w:rPr>
          <w:rFonts w:hint="default" w:ascii="Times New Roman" w:hAnsi="Times New Roman" w:eastAsia="宋体" w:cs="Times New Roman"/>
          <w:b/>
          <w:sz w:val="24"/>
          <w:highlight w:val="none"/>
        </w:rPr>
        <w:t>2、残疾人福利性单位声明函（服务类）</w:t>
      </w:r>
    </w:p>
    <w:p w14:paraId="1AD00FCF">
      <w:pPr>
        <w:pageBreakBefore w:val="0"/>
        <w:kinsoku/>
        <w:overflowPunct/>
        <w:topLinePunct w:val="0"/>
        <w:autoSpaceDE/>
        <w:autoSpaceDN/>
        <w:bidi w:val="0"/>
        <w:spacing w:beforeAutospacing="0" w:afterAutospacing="0" w:line="360" w:lineRule="auto"/>
        <w:ind w:left="0" w:leftChars="0" w:right="0" w:firstLine="0" w:firstLineChars="0"/>
        <w:outlineLvl w:val="9"/>
        <w:rPr>
          <w:rFonts w:hint="default" w:ascii="Times New Roman" w:hAnsi="Times New Roman" w:eastAsia="宋体" w:cs="Times New Roman"/>
          <w:b/>
          <w:bCs/>
          <w:highlight w:val="none"/>
        </w:rPr>
      </w:pPr>
    </w:p>
    <w:p w14:paraId="7BB2833A">
      <w:pPr>
        <w:pageBreakBefore w:val="0"/>
        <w:kinsoku/>
        <w:overflowPunct/>
        <w:topLinePunct w:val="0"/>
        <w:autoSpaceDE/>
        <w:autoSpaceDN/>
        <w:bidi w:val="0"/>
        <w:spacing w:beforeAutospacing="0" w:afterAutospacing="0" w:line="360" w:lineRule="auto"/>
        <w:ind w:left="0" w:leftChars="0" w:right="0" w:firstLine="0" w:firstLineChars="0"/>
        <w:outlineLvl w:val="9"/>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t>本投标人郑重声明，根据《财政部民政部中国残疾人联合会关于促进残疾人就业政府采购政策的通知》（财库〔2017〕141 号）的规定，本投标人参加</w:t>
      </w:r>
      <w:r>
        <w:rPr>
          <w:rFonts w:hint="default" w:ascii="Times New Roman" w:hAnsi="Times New Roman" w:eastAsia="宋体" w:cs="Times New Roman"/>
          <w:b/>
          <w:bCs/>
          <w:szCs w:val="21"/>
          <w:highlight w:val="none"/>
          <w:u w:val="single"/>
        </w:rPr>
        <w:t>（采购人名称）</w:t>
      </w:r>
      <w:r>
        <w:rPr>
          <w:rFonts w:hint="default" w:ascii="Times New Roman" w:hAnsi="Times New Roman" w:eastAsia="宋体" w:cs="Times New Roman"/>
          <w:szCs w:val="21"/>
          <w:highlight w:val="none"/>
        </w:rPr>
        <w:t>的</w:t>
      </w:r>
      <w:r>
        <w:rPr>
          <w:rFonts w:hint="default" w:ascii="Times New Roman" w:hAnsi="Times New Roman" w:eastAsia="宋体" w:cs="Times New Roman"/>
          <w:b/>
          <w:bCs/>
          <w:szCs w:val="21"/>
          <w:highlight w:val="none"/>
          <w:u w:val="single"/>
        </w:rPr>
        <w:t>（项目名称）</w:t>
      </w:r>
      <w:r>
        <w:rPr>
          <w:rFonts w:hint="default" w:ascii="Times New Roman" w:hAnsi="Times New Roman" w:eastAsia="宋体" w:cs="Times New Roman"/>
          <w:szCs w:val="21"/>
          <w:highlight w:val="none"/>
        </w:rPr>
        <w:t>采购活动，服务全部由符合政策要求的残疾人福利性单位承接。相关残疾人福利性单位的具体情况如下：</w:t>
      </w:r>
    </w:p>
    <w:p w14:paraId="1EBF9AA1">
      <w:pPr>
        <w:pageBreakBefore w:val="0"/>
        <w:kinsoku/>
        <w:overflowPunct/>
        <w:topLinePunct w:val="0"/>
        <w:autoSpaceDE/>
        <w:autoSpaceDN/>
        <w:bidi w:val="0"/>
        <w:spacing w:beforeAutospacing="0" w:afterAutospacing="0" w:line="360" w:lineRule="auto"/>
        <w:ind w:left="0" w:leftChars="0" w:right="0" w:firstLine="0" w:firstLineChars="0"/>
        <w:outlineLvl w:val="9"/>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t>1.</w:t>
      </w:r>
      <w:r>
        <w:rPr>
          <w:rFonts w:hint="default" w:ascii="Times New Roman" w:hAnsi="Times New Roman" w:eastAsia="宋体" w:cs="Times New Roman"/>
          <w:b/>
          <w:bCs/>
          <w:szCs w:val="21"/>
          <w:highlight w:val="none"/>
          <w:u w:val="single"/>
        </w:rPr>
        <w:t xml:space="preserve"> （标的名称）</w:t>
      </w:r>
      <w:r>
        <w:rPr>
          <w:rFonts w:hint="default" w:ascii="Times New Roman" w:hAnsi="Times New Roman" w:eastAsia="宋体" w:cs="Times New Roman"/>
          <w:szCs w:val="21"/>
          <w:highlight w:val="none"/>
        </w:rPr>
        <w:t xml:space="preserve"> ，承接企业为</w:t>
      </w:r>
      <w:r>
        <w:rPr>
          <w:rFonts w:hint="default" w:ascii="Times New Roman" w:hAnsi="Times New Roman" w:eastAsia="宋体" w:cs="Times New Roman"/>
          <w:b/>
          <w:bCs/>
          <w:szCs w:val="21"/>
          <w:highlight w:val="none"/>
          <w:u w:val="single"/>
        </w:rPr>
        <w:t>（单位名称）</w:t>
      </w:r>
      <w:r>
        <w:rPr>
          <w:rFonts w:hint="default" w:ascii="Times New Roman" w:hAnsi="Times New Roman" w:eastAsia="宋体" w:cs="Times New Roman"/>
          <w:szCs w:val="21"/>
          <w:highlight w:val="none"/>
        </w:rPr>
        <w:t>，属于</w:t>
      </w:r>
      <w:r>
        <w:rPr>
          <w:rFonts w:hint="default" w:ascii="Times New Roman" w:hAnsi="Times New Roman" w:eastAsia="宋体" w:cs="Times New Roman"/>
          <w:b/>
          <w:bCs/>
          <w:szCs w:val="21"/>
          <w:highlight w:val="none"/>
          <w:u w:val="single"/>
        </w:rPr>
        <w:t>残疾人福利性单位</w:t>
      </w:r>
      <w:r>
        <w:rPr>
          <w:rFonts w:hint="default" w:ascii="Times New Roman" w:hAnsi="Times New Roman" w:eastAsia="宋体" w:cs="Times New Roman"/>
          <w:szCs w:val="21"/>
          <w:highlight w:val="none"/>
        </w:rPr>
        <w:t>；</w:t>
      </w:r>
    </w:p>
    <w:p w14:paraId="1D902EE8">
      <w:pPr>
        <w:pageBreakBefore w:val="0"/>
        <w:kinsoku/>
        <w:overflowPunct/>
        <w:topLinePunct w:val="0"/>
        <w:autoSpaceDE/>
        <w:autoSpaceDN/>
        <w:bidi w:val="0"/>
        <w:spacing w:beforeAutospacing="0" w:afterAutospacing="0" w:line="360" w:lineRule="auto"/>
        <w:ind w:left="0" w:leftChars="0" w:right="0" w:firstLine="0" w:firstLineChars="0"/>
        <w:outlineLvl w:val="9"/>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t>2.</w:t>
      </w:r>
      <w:r>
        <w:rPr>
          <w:rFonts w:hint="default" w:ascii="Times New Roman" w:hAnsi="Times New Roman" w:eastAsia="宋体" w:cs="Times New Roman"/>
          <w:b/>
          <w:bCs/>
          <w:szCs w:val="21"/>
          <w:highlight w:val="none"/>
          <w:u w:val="single"/>
        </w:rPr>
        <w:t xml:space="preserve"> （标的名称）</w:t>
      </w:r>
      <w:r>
        <w:rPr>
          <w:rFonts w:hint="default" w:ascii="Times New Roman" w:hAnsi="Times New Roman" w:eastAsia="宋体" w:cs="Times New Roman"/>
          <w:szCs w:val="21"/>
          <w:highlight w:val="none"/>
        </w:rPr>
        <w:t xml:space="preserve"> ，承接企业为</w:t>
      </w:r>
      <w:r>
        <w:rPr>
          <w:rFonts w:hint="default" w:ascii="Times New Roman" w:hAnsi="Times New Roman" w:eastAsia="宋体" w:cs="Times New Roman"/>
          <w:b/>
          <w:bCs/>
          <w:szCs w:val="21"/>
          <w:highlight w:val="none"/>
          <w:u w:val="single"/>
        </w:rPr>
        <w:t>（单位名称）</w:t>
      </w:r>
      <w:r>
        <w:rPr>
          <w:rFonts w:hint="default" w:ascii="Times New Roman" w:hAnsi="Times New Roman" w:eastAsia="宋体" w:cs="Times New Roman"/>
          <w:szCs w:val="21"/>
          <w:highlight w:val="none"/>
        </w:rPr>
        <w:t>，属于</w:t>
      </w:r>
      <w:r>
        <w:rPr>
          <w:rFonts w:hint="default" w:ascii="Times New Roman" w:hAnsi="Times New Roman" w:eastAsia="宋体" w:cs="Times New Roman"/>
          <w:b/>
          <w:bCs/>
          <w:szCs w:val="21"/>
          <w:highlight w:val="none"/>
          <w:u w:val="single"/>
        </w:rPr>
        <w:t>残疾人福利性单位</w:t>
      </w:r>
      <w:r>
        <w:rPr>
          <w:rFonts w:hint="default" w:ascii="Times New Roman" w:hAnsi="Times New Roman" w:eastAsia="宋体" w:cs="Times New Roman"/>
          <w:szCs w:val="21"/>
          <w:highlight w:val="none"/>
        </w:rPr>
        <w:t>。</w:t>
      </w:r>
    </w:p>
    <w:p w14:paraId="4DBAF471">
      <w:pPr>
        <w:pageBreakBefore w:val="0"/>
        <w:kinsoku/>
        <w:overflowPunct/>
        <w:topLinePunct w:val="0"/>
        <w:autoSpaceDE/>
        <w:autoSpaceDN/>
        <w:bidi w:val="0"/>
        <w:spacing w:beforeAutospacing="0" w:afterAutospacing="0" w:line="360" w:lineRule="auto"/>
        <w:ind w:left="0" w:leftChars="0" w:right="0" w:firstLine="0" w:firstLineChars="0"/>
        <w:outlineLvl w:val="9"/>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t xml:space="preserve">…… </w:t>
      </w:r>
    </w:p>
    <w:p w14:paraId="24662A15">
      <w:pPr>
        <w:pageBreakBefore w:val="0"/>
        <w:kinsoku/>
        <w:overflowPunct/>
        <w:topLinePunct w:val="0"/>
        <w:autoSpaceDE/>
        <w:autoSpaceDN/>
        <w:bidi w:val="0"/>
        <w:spacing w:beforeAutospacing="0" w:afterAutospacing="0" w:line="360" w:lineRule="auto"/>
        <w:ind w:left="0" w:leftChars="0" w:right="0" w:firstLine="0" w:firstLineChars="0"/>
        <w:outlineLvl w:val="9"/>
        <w:rPr>
          <w:rFonts w:hint="default" w:ascii="Times New Roman" w:hAnsi="Times New Roman" w:eastAsia="宋体" w:cs="Times New Roman"/>
          <w:szCs w:val="21"/>
          <w:highlight w:val="none"/>
        </w:rPr>
      </w:pPr>
      <w:r>
        <w:rPr>
          <w:rFonts w:hint="default" w:ascii="Times New Roman" w:hAnsi="Times New Roman" w:eastAsia="宋体" w:cs="Times New Roman"/>
          <w:highlight w:val="none"/>
        </w:rPr>
        <w:t>本投标人已知悉《财政部民政部中国残疾人联合会关于促进残疾人就业政府采购政策的通知》（财库〔2017〕141 号）的规定，承诺提供的声明函内容是真实的，如提供声明函内容不实，则依法追究相关法律责任。</w:t>
      </w:r>
    </w:p>
    <w:p w14:paraId="767DFAC5">
      <w:pPr>
        <w:pageBreakBefore w:val="0"/>
        <w:kinsoku/>
        <w:overflowPunct/>
        <w:topLinePunct w:val="0"/>
        <w:autoSpaceDE/>
        <w:autoSpaceDN/>
        <w:bidi w:val="0"/>
        <w:spacing w:beforeAutospacing="0" w:afterAutospacing="0" w:line="360" w:lineRule="auto"/>
        <w:ind w:left="0" w:leftChars="0" w:right="0" w:firstLine="0" w:firstLineChars="0"/>
        <w:jc w:val="right"/>
        <w:outlineLvl w:val="9"/>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t>企业名称：</w:t>
      </w:r>
    </w:p>
    <w:p w14:paraId="5316D490">
      <w:pPr>
        <w:pageBreakBefore w:val="0"/>
        <w:kinsoku/>
        <w:overflowPunct/>
        <w:topLinePunct w:val="0"/>
        <w:autoSpaceDE/>
        <w:autoSpaceDN/>
        <w:bidi w:val="0"/>
        <w:spacing w:beforeAutospacing="0" w:afterAutospacing="0" w:line="360" w:lineRule="auto"/>
        <w:ind w:left="0" w:leftChars="0" w:right="0" w:firstLine="0" w:firstLineChars="0"/>
        <w:jc w:val="right"/>
        <w:outlineLvl w:val="9"/>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t>日 期：</w:t>
      </w:r>
    </w:p>
    <w:p w14:paraId="1EB87EC1">
      <w:pPr>
        <w:pageBreakBefore w:val="0"/>
        <w:kinsoku/>
        <w:overflowPunct/>
        <w:topLinePunct w:val="0"/>
        <w:autoSpaceDE/>
        <w:autoSpaceDN/>
        <w:bidi w:val="0"/>
        <w:spacing w:beforeAutospacing="0" w:afterAutospacing="0" w:line="360" w:lineRule="auto"/>
        <w:ind w:left="0" w:leftChars="0" w:right="0" w:firstLine="0" w:firstLineChars="0"/>
        <w:outlineLvl w:val="9"/>
        <w:rPr>
          <w:rFonts w:hint="default" w:ascii="Times New Roman" w:hAnsi="Times New Roman" w:eastAsia="宋体" w:cs="Times New Roman"/>
          <w:szCs w:val="21"/>
          <w:highlight w:val="none"/>
        </w:rPr>
      </w:pPr>
    </w:p>
    <w:p w14:paraId="43F23351">
      <w:pPr>
        <w:pageBreakBefore w:val="0"/>
        <w:kinsoku/>
        <w:overflowPunct/>
        <w:topLinePunct w:val="0"/>
        <w:autoSpaceDE/>
        <w:autoSpaceDN/>
        <w:bidi w:val="0"/>
        <w:spacing w:beforeAutospacing="0" w:afterAutospacing="0" w:line="360" w:lineRule="auto"/>
        <w:ind w:left="0" w:leftChars="0" w:right="0" w:firstLine="0" w:firstLineChars="0"/>
        <w:outlineLvl w:val="9"/>
        <w:rPr>
          <w:rFonts w:hint="default" w:ascii="Times New Roman" w:hAnsi="Times New Roman" w:eastAsia="宋体" w:cs="Times New Roman"/>
          <w:szCs w:val="21"/>
          <w:highlight w:val="none"/>
        </w:rPr>
      </w:pPr>
    </w:p>
    <w:p w14:paraId="33FD5134">
      <w:pPr>
        <w:pageBreakBefore w:val="0"/>
        <w:kinsoku/>
        <w:overflowPunct/>
        <w:topLinePunct w:val="0"/>
        <w:autoSpaceDE/>
        <w:autoSpaceDN/>
        <w:bidi w:val="0"/>
        <w:spacing w:beforeAutospacing="0" w:afterAutospacing="0" w:line="360" w:lineRule="auto"/>
        <w:ind w:left="0" w:leftChars="0" w:right="0" w:firstLine="0" w:firstLineChars="0"/>
        <w:jc w:val="center"/>
        <w:outlineLvl w:val="9"/>
        <w:rPr>
          <w:rFonts w:hint="default" w:ascii="Times New Roman" w:hAnsi="Times New Roman" w:eastAsia="宋体" w:cs="Times New Roman"/>
          <w:b/>
          <w:sz w:val="24"/>
          <w:highlight w:val="none"/>
        </w:rPr>
      </w:pPr>
      <w:r>
        <w:rPr>
          <w:rFonts w:hint="default" w:ascii="Times New Roman" w:hAnsi="Times New Roman" w:eastAsia="宋体" w:cs="Times New Roman"/>
          <w:b/>
          <w:sz w:val="24"/>
          <w:highlight w:val="none"/>
        </w:rPr>
        <w:t>3、监狱企业声明函【服务类，监狱企业如需享受优惠政策，还须另行提供省级以上监狱管理局、戒毒管理局（含新疆生产建设兵团）出具的监狱企业证明文件】</w:t>
      </w:r>
    </w:p>
    <w:p w14:paraId="69FAA64D">
      <w:pPr>
        <w:pageBreakBefore w:val="0"/>
        <w:kinsoku/>
        <w:overflowPunct/>
        <w:topLinePunct w:val="0"/>
        <w:autoSpaceDE/>
        <w:autoSpaceDN/>
        <w:bidi w:val="0"/>
        <w:spacing w:beforeAutospacing="0" w:afterAutospacing="0" w:line="360" w:lineRule="auto"/>
        <w:ind w:left="0" w:leftChars="0" w:right="0" w:firstLine="0" w:firstLineChars="0"/>
        <w:outlineLvl w:val="9"/>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t>本投标人郑重声明，根据《财政部司法部关于政府采购支持监狱企业发展有关问题的通知》（财库〔2014〕68号）的规定，本投标人参加</w:t>
      </w:r>
      <w:r>
        <w:rPr>
          <w:rFonts w:hint="default" w:ascii="Times New Roman" w:hAnsi="Times New Roman" w:eastAsia="宋体" w:cs="Times New Roman"/>
          <w:b/>
          <w:bCs/>
          <w:szCs w:val="21"/>
          <w:highlight w:val="none"/>
          <w:u w:val="single"/>
        </w:rPr>
        <w:t>（采购人名称）</w:t>
      </w:r>
      <w:r>
        <w:rPr>
          <w:rFonts w:hint="default" w:ascii="Times New Roman" w:hAnsi="Times New Roman" w:eastAsia="宋体" w:cs="Times New Roman"/>
          <w:szCs w:val="21"/>
          <w:highlight w:val="none"/>
        </w:rPr>
        <w:t>的</w:t>
      </w:r>
      <w:r>
        <w:rPr>
          <w:rFonts w:hint="default" w:ascii="Times New Roman" w:hAnsi="Times New Roman" w:eastAsia="宋体" w:cs="Times New Roman"/>
          <w:b/>
          <w:bCs/>
          <w:szCs w:val="21"/>
          <w:highlight w:val="none"/>
          <w:u w:val="single"/>
        </w:rPr>
        <w:t>（项目名称）</w:t>
      </w:r>
      <w:r>
        <w:rPr>
          <w:rFonts w:hint="default" w:ascii="Times New Roman" w:hAnsi="Times New Roman" w:eastAsia="宋体" w:cs="Times New Roman"/>
          <w:szCs w:val="21"/>
          <w:highlight w:val="none"/>
        </w:rPr>
        <w:t>采购活动，服务全部由符合政策要求的监狱企业承接。相关监狱企业的具体情况如下：</w:t>
      </w:r>
    </w:p>
    <w:p w14:paraId="54EF149B">
      <w:pPr>
        <w:pageBreakBefore w:val="0"/>
        <w:kinsoku/>
        <w:overflowPunct/>
        <w:topLinePunct w:val="0"/>
        <w:autoSpaceDE/>
        <w:autoSpaceDN/>
        <w:bidi w:val="0"/>
        <w:spacing w:beforeAutospacing="0" w:afterAutospacing="0" w:line="360" w:lineRule="auto"/>
        <w:ind w:left="0" w:leftChars="0" w:right="0" w:firstLine="0" w:firstLineChars="0"/>
        <w:outlineLvl w:val="9"/>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t>1.</w:t>
      </w:r>
      <w:r>
        <w:rPr>
          <w:rFonts w:hint="default" w:ascii="Times New Roman" w:hAnsi="Times New Roman" w:eastAsia="宋体" w:cs="Times New Roman"/>
          <w:b/>
          <w:bCs/>
          <w:szCs w:val="21"/>
          <w:highlight w:val="none"/>
          <w:u w:val="single"/>
        </w:rPr>
        <w:t xml:space="preserve"> （标的名称）</w:t>
      </w:r>
      <w:r>
        <w:rPr>
          <w:rFonts w:hint="default" w:ascii="Times New Roman" w:hAnsi="Times New Roman" w:eastAsia="宋体" w:cs="Times New Roman"/>
          <w:szCs w:val="21"/>
          <w:highlight w:val="none"/>
        </w:rPr>
        <w:t xml:space="preserve"> ，承接单位为</w:t>
      </w:r>
      <w:r>
        <w:rPr>
          <w:rFonts w:hint="default" w:ascii="Times New Roman" w:hAnsi="Times New Roman" w:eastAsia="宋体" w:cs="Times New Roman"/>
          <w:b/>
          <w:bCs/>
          <w:szCs w:val="21"/>
          <w:highlight w:val="none"/>
          <w:u w:val="single"/>
        </w:rPr>
        <w:t>（企业名称）</w:t>
      </w:r>
      <w:r>
        <w:rPr>
          <w:rFonts w:hint="default" w:ascii="Times New Roman" w:hAnsi="Times New Roman" w:eastAsia="宋体" w:cs="Times New Roman"/>
          <w:szCs w:val="21"/>
          <w:highlight w:val="none"/>
        </w:rPr>
        <w:t>，属于</w:t>
      </w:r>
      <w:r>
        <w:rPr>
          <w:rFonts w:hint="default" w:ascii="Times New Roman" w:hAnsi="Times New Roman" w:eastAsia="宋体" w:cs="Times New Roman"/>
          <w:b/>
          <w:bCs/>
          <w:szCs w:val="21"/>
          <w:highlight w:val="none"/>
          <w:u w:val="single"/>
        </w:rPr>
        <w:t>监狱企业</w:t>
      </w:r>
      <w:r>
        <w:rPr>
          <w:rFonts w:hint="default" w:ascii="Times New Roman" w:hAnsi="Times New Roman" w:eastAsia="宋体" w:cs="Times New Roman"/>
          <w:szCs w:val="21"/>
          <w:highlight w:val="none"/>
        </w:rPr>
        <w:t>；</w:t>
      </w:r>
    </w:p>
    <w:p w14:paraId="1BA3B4F1">
      <w:pPr>
        <w:pageBreakBefore w:val="0"/>
        <w:kinsoku/>
        <w:overflowPunct/>
        <w:topLinePunct w:val="0"/>
        <w:autoSpaceDE/>
        <w:autoSpaceDN/>
        <w:bidi w:val="0"/>
        <w:spacing w:beforeAutospacing="0" w:afterAutospacing="0" w:line="360" w:lineRule="auto"/>
        <w:ind w:left="0" w:leftChars="0" w:right="0" w:firstLine="0" w:firstLineChars="0"/>
        <w:outlineLvl w:val="9"/>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t>2.</w:t>
      </w:r>
      <w:r>
        <w:rPr>
          <w:rFonts w:hint="default" w:ascii="Times New Roman" w:hAnsi="Times New Roman" w:eastAsia="宋体" w:cs="Times New Roman"/>
          <w:b/>
          <w:bCs/>
          <w:szCs w:val="21"/>
          <w:highlight w:val="none"/>
          <w:u w:val="single"/>
        </w:rPr>
        <w:t xml:space="preserve"> （标的名称）</w:t>
      </w:r>
      <w:r>
        <w:rPr>
          <w:rFonts w:hint="default" w:ascii="Times New Roman" w:hAnsi="Times New Roman" w:eastAsia="宋体" w:cs="Times New Roman"/>
          <w:szCs w:val="21"/>
          <w:highlight w:val="none"/>
        </w:rPr>
        <w:t xml:space="preserve"> ，承接单位为</w:t>
      </w:r>
      <w:r>
        <w:rPr>
          <w:rFonts w:hint="default" w:ascii="Times New Roman" w:hAnsi="Times New Roman" w:eastAsia="宋体" w:cs="Times New Roman"/>
          <w:b/>
          <w:bCs/>
          <w:szCs w:val="21"/>
          <w:highlight w:val="none"/>
          <w:u w:val="single"/>
        </w:rPr>
        <w:t>（企业名称）</w:t>
      </w:r>
      <w:r>
        <w:rPr>
          <w:rFonts w:hint="default" w:ascii="Times New Roman" w:hAnsi="Times New Roman" w:eastAsia="宋体" w:cs="Times New Roman"/>
          <w:szCs w:val="21"/>
          <w:highlight w:val="none"/>
        </w:rPr>
        <w:t>，属于</w:t>
      </w:r>
      <w:r>
        <w:rPr>
          <w:rFonts w:hint="default" w:ascii="Times New Roman" w:hAnsi="Times New Roman" w:eastAsia="宋体" w:cs="Times New Roman"/>
          <w:b/>
          <w:bCs/>
          <w:szCs w:val="21"/>
          <w:highlight w:val="none"/>
          <w:u w:val="single"/>
        </w:rPr>
        <w:t>监狱企业</w:t>
      </w:r>
      <w:r>
        <w:rPr>
          <w:rFonts w:hint="default" w:ascii="Times New Roman" w:hAnsi="Times New Roman" w:eastAsia="宋体" w:cs="Times New Roman"/>
          <w:szCs w:val="21"/>
          <w:highlight w:val="none"/>
        </w:rPr>
        <w:t>。</w:t>
      </w:r>
    </w:p>
    <w:p w14:paraId="11DE7154">
      <w:pPr>
        <w:pageBreakBefore w:val="0"/>
        <w:kinsoku/>
        <w:overflowPunct/>
        <w:topLinePunct w:val="0"/>
        <w:autoSpaceDE/>
        <w:autoSpaceDN/>
        <w:bidi w:val="0"/>
        <w:spacing w:beforeAutospacing="0" w:afterAutospacing="0" w:line="360" w:lineRule="auto"/>
        <w:ind w:left="0" w:leftChars="0" w:right="0" w:firstLine="0" w:firstLineChars="0"/>
        <w:outlineLvl w:val="9"/>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t xml:space="preserve">…… </w:t>
      </w:r>
    </w:p>
    <w:p w14:paraId="1DA1EBB3">
      <w:pPr>
        <w:pageBreakBefore w:val="0"/>
        <w:kinsoku/>
        <w:overflowPunct/>
        <w:topLinePunct w:val="0"/>
        <w:autoSpaceDE/>
        <w:autoSpaceDN/>
        <w:bidi w:val="0"/>
        <w:spacing w:beforeAutospacing="0" w:afterAutospacing="0" w:line="360" w:lineRule="auto"/>
        <w:ind w:left="0" w:leftChars="0" w:right="0" w:firstLine="0" w:firstLineChars="0"/>
        <w:outlineLvl w:val="9"/>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t>本投标人对上述声明内容的真实性负责。如有虚假，将依法承担相应责任。</w:t>
      </w:r>
    </w:p>
    <w:p w14:paraId="73D1640F">
      <w:pPr>
        <w:pageBreakBefore w:val="0"/>
        <w:kinsoku/>
        <w:overflowPunct/>
        <w:topLinePunct w:val="0"/>
        <w:autoSpaceDE/>
        <w:autoSpaceDN/>
        <w:bidi w:val="0"/>
        <w:spacing w:beforeAutospacing="0" w:afterAutospacing="0" w:line="360" w:lineRule="auto"/>
        <w:ind w:left="0" w:leftChars="0" w:right="0" w:firstLine="0" w:firstLineChars="0"/>
        <w:outlineLvl w:val="9"/>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t>附：省级以上监狱管理局、戒毒管理局（含新疆生产建设兵团）出具的监狱企业证明文件。</w:t>
      </w:r>
    </w:p>
    <w:p w14:paraId="4BC58B03">
      <w:pPr>
        <w:pageBreakBefore w:val="0"/>
        <w:kinsoku/>
        <w:overflowPunct/>
        <w:topLinePunct w:val="0"/>
        <w:autoSpaceDE/>
        <w:autoSpaceDN/>
        <w:bidi w:val="0"/>
        <w:spacing w:beforeAutospacing="0" w:afterAutospacing="0" w:line="360" w:lineRule="auto"/>
        <w:ind w:left="0" w:leftChars="0" w:right="0" w:firstLine="0" w:firstLineChars="0"/>
        <w:jc w:val="right"/>
        <w:outlineLvl w:val="9"/>
        <w:rPr>
          <w:rFonts w:hint="default" w:ascii="Times New Roman" w:hAnsi="Times New Roman" w:eastAsia="宋体" w:cs="Times New Roman"/>
          <w:szCs w:val="21"/>
          <w:highlight w:val="none"/>
        </w:rPr>
      </w:pPr>
    </w:p>
    <w:p w14:paraId="30CB766C">
      <w:pPr>
        <w:pageBreakBefore w:val="0"/>
        <w:kinsoku/>
        <w:overflowPunct/>
        <w:topLinePunct w:val="0"/>
        <w:autoSpaceDE/>
        <w:autoSpaceDN/>
        <w:bidi w:val="0"/>
        <w:spacing w:beforeAutospacing="0" w:afterAutospacing="0" w:line="360" w:lineRule="auto"/>
        <w:ind w:left="0" w:leftChars="0" w:right="0" w:firstLine="0" w:firstLineChars="0"/>
        <w:jc w:val="right"/>
        <w:outlineLvl w:val="9"/>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t>企业名称：</w:t>
      </w:r>
    </w:p>
    <w:p w14:paraId="514E1D75">
      <w:pPr>
        <w:pageBreakBefore w:val="0"/>
        <w:kinsoku/>
        <w:overflowPunct/>
        <w:topLinePunct w:val="0"/>
        <w:autoSpaceDE/>
        <w:autoSpaceDN/>
        <w:bidi w:val="0"/>
        <w:spacing w:beforeAutospacing="0" w:afterAutospacing="0" w:line="360" w:lineRule="auto"/>
        <w:ind w:left="0" w:leftChars="0" w:right="0" w:firstLine="0" w:firstLineChars="0"/>
        <w:jc w:val="right"/>
        <w:outlineLvl w:val="9"/>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t>日 期：</w:t>
      </w:r>
    </w:p>
    <w:p w14:paraId="506D188F">
      <w:pPr>
        <w:pageBreakBefore w:val="0"/>
        <w:kinsoku/>
        <w:overflowPunct/>
        <w:topLinePunct w:val="0"/>
        <w:autoSpaceDE/>
        <w:autoSpaceDN/>
        <w:bidi w:val="0"/>
        <w:spacing w:beforeAutospacing="0" w:afterAutospacing="0" w:line="360" w:lineRule="auto"/>
        <w:ind w:left="0" w:leftChars="0" w:right="0" w:firstLine="0" w:firstLineChars="0"/>
        <w:outlineLvl w:val="9"/>
        <w:rPr>
          <w:rFonts w:hint="default" w:ascii="Times New Roman" w:hAnsi="Times New Roman" w:eastAsia="宋体" w:cs="Times New Roman"/>
          <w:szCs w:val="21"/>
          <w:highlight w:val="none"/>
        </w:rPr>
      </w:pPr>
    </w:p>
    <w:p w14:paraId="4E9E543F">
      <w:pPr>
        <w:pageBreakBefore w:val="0"/>
        <w:kinsoku/>
        <w:overflowPunct/>
        <w:topLinePunct w:val="0"/>
        <w:autoSpaceDE/>
        <w:autoSpaceDN/>
        <w:bidi w:val="0"/>
        <w:spacing w:beforeAutospacing="0" w:afterAutospacing="0" w:line="360" w:lineRule="auto"/>
        <w:ind w:left="0" w:leftChars="0" w:right="0" w:firstLine="0" w:firstLineChars="0"/>
        <w:outlineLvl w:val="9"/>
        <w:rPr>
          <w:rFonts w:hint="default" w:ascii="Times New Roman" w:hAnsi="Times New Roman" w:eastAsia="宋体" w:cs="Times New Roman"/>
          <w:b/>
          <w:bCs/>
          <w:sz w:val="24"/>
          <w:highlight w:val="none"/>
        </w:rPr>
      </w:pPr>
    </w:p>
    <w:p w14:paraId="778B5CE3">
      <w:pPr>
        <w:pStyle w:val="2"/>
        <w:rPr>
          <w:rFonts w:hint="default" w:ascii="Times New Roman" w:hAnsi="Times New Roman" w:eastAsia="宋体" w:cs="Times New Roman"/>
          <w:b/>
          <w:bCs/>
          <w:sz w:val="24"/>
          <w:highlight w:val="none"/>
        </w:rPr>
      </w:pPr>
    </w:p>
    <w:p w14:paraId="61939DA0">
      <w:pPr>
        <w:rPr>
          <w:rFonts w:hint="default" w:ascii="Times New Roman" w:hAnsi="Times New Roman" w:eastAsia="宋体" w:cs="Times New Roman"/>
          <w:b/>
          <w:bCs/>
          <w:sz w:val="24"/>
          <w:highlight w:val="none"/>
        </w:rPr>
      </w:pPr>
    </w:p>
    <w:p w14:paraId="2E1B175F">
      <w:pPr>
        <w:pStyle w:val="2"/>
        <w:rPr>
          <w:rFonts w:hint="default"/>
        </w:rPr>
      </w:pPr>
    </w:p>
    <w:p w14:paraId="6726D45E">
      <w:pPr>
        <w:pStyle w:val="5"/>
        <w:pageBreakBefore w:val="0"/>
        <w:numPr>
          <w:ilvl w:val="0"/>
          <w:numId w:val="0"/>
        </w:numPr>
        <w:kinsoku/>
        <w:overflowPunct/>
        <w:topLinePunct w:val="0"/>
        <w:autoSpaceDE/>
        <w:autoSpaceDN/>
        <w:bidi w:val="0"/>
        <w:spacing w:before="0" w:beforeAutospacing="0" w:after="0" w:afterAutospacing="0" w:line="360" w:lineRule="auto"/>
        <w:ind w:leftChars="0" w:right="0" w:rightChars="0"/>
        <w:jc w:val="center"/>
        <w:rPr>
          <w:rFonts w:hint="default" w:ascii="Times New Roman" w:hAnsi="Times New Roman" w:eastAsia="宋体" w:cs="Times New Roman"/>
          <w:b/>
          <w:bCs w:val="0"/>
          <w:sz w:val="32"/>
          <w:szCs w:val="40"/>
          <w:highlight w:val="none"/>
        </w:rPr>
      </w:pPr>
      <w:bookmarkStart w:id="59" w:name="_Hlk72259976"/>
      <w:r>
        <w:rPr>
          <w:rFonts w:hint="eastAsia" w:ascii="Times New Roman" w:hAnsi="Times New Roman" w:cs="Times New Roman"/>
          <w:b/>
          <w:bCs w:val="0"/>
          <w:sz w:val="32"/>
          <w:szCs w:val="40"/>
          <w:highlight w:val="none"/>
          <w:lang w:val="en-US" w:eastAsia="zh-CN"/>
        </w:rPr>
        <w:t>五、</w:t>
      </w:r>
      <w:r>
        <w:rPr>
          <w:rFonts w:hint="default" w:ascii="Times New Roman" w:hAnsi="Times New Roman" w:eastAsia="宋体" w:cs="Times New Roman"/>
          <w:b/>
          <w:bCs w:val="0"/>
          <w:sz w:val="32"/>
          <w:szCs w:val="40"/>
          <w:highlight w:val="none"/>
        </w:rPr>
        <w:t>项目详细报价</w:t>
      </w:r>
    </w:p>
    <w:p w14:paraId="6B820FC3">
      <w:pPr>
        <w:pageBreakBefore w:val="0"/>
        <w:tabs>
          <w:tab w:val="left" w:pos="720"/>
        </w:tabs>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sz w:val="24"/>
          <w:highlight w:val="none"/>
        </w:rPr>
      </w:pPr>
      <w:r>
        <w:rPr>
          <w:rFonts w:hint="default" w:ascii="Times New Roman" w:hAnsi="Times New Roman" w:eastAsia="宋体" w:cs="Times New Roman"/>
          <w:b/>
          <w:sz w:val="24"/>
          <w:highlight w:val="none"/>
        </w:rPr>
        <w:t>（一）一对一、一对二、一对三普通陪护投标报价</w:t>
      </w:r>
    </w:p>
    <w:tbl>
      <w:tblPr>
        <w:tblStyle w:val="45"/>
        <w:tblpPr w:leftFromText="180" w:rightFromText="180" w:vertAnchor="text" w:horzAnchor="page" w:tblpX="1796" w:tblpY="339"/>
        <w:tblW w:w="837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71"/>
        <w:gridCol w:w="3696"/>
        <w:gridCol w:w="3504"/>
      </w:tblGrid>
      <w:tr w14:paraId="7F33D7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1171" w:type="dxa"/>
            <w:vAlign w:val="center"/>
          </w:tcPr>
          <w:p w14:paraId="1326D955">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Cs/>
                <w:szCs w:val="21"/>
                <w:highlight w:val="none"/>
              </w:rPr>
            </w:pPr>
            <w:r>
              <w:rPr>
                <w:rFonts w:hint="default" w:ascii="Times New Roman" w:hAnsi="Times New Roman" w:eastAsia="宋体" w:cs="Times New Roman"/>
                <w:bCs/>
                <w:szCs w:val="21"/>
                <w:highlight w:val="none"/>
              </w:rPr>
              <w:t>序号</w:t>
            </w:r>
          </w:p>
        </w:tc>
        <w:tc>
          <w:tcPr>
            <w:tcW w:w="3696" w:type="dxa"/>
            <w:vAlign w:val="center"/>
          </w:tcPr>
          <w:p w14:paraId="5BF3AE34">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Cs/>
                <w:szCs w:val="21"/>
                <w:highlight w:val="none"/>
              </w:rPr>
            </w:pPr>
            <w:r>
              <w:rPr>
                <w:rFonts w:hint="default" w:ascii="Times New Roman" w:hAnsi="Times New Roman" w:eastAsia="宋体" w:cs="Times New Roman"/>
                <w:bCs/>
                <w:szCs w:val="21"/>
                <w:highlight w:val="none"/>
              </w:rPr>
              <w:t>名称</w:t>
            </w:r>
          </w:p>
        </w:tc>
        <w:tc>
          <w:tcPr>
            <w:tcW w:w="3504" w:type="dxa"/>
            <w:vAlign w:val="center"/>
          </w:tcPr>
          <w:p w14:paraId="282F3B91">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Cs/>
                <w:szCs w:val="21"/>
                <w:highlight w:val="none"/>
              </w:rPr>
            </w:pPr>
            <w:r>
              <w:rPr>
                <w:rFonts w:hint="default" w:ascii="Times New Roman" w:hAnsi="Times New Roman" w:eastAsia="宋体" w:cs="Times New Roman"/>
                <w:szCs w:val="21"/>
                <w:highlight w:val="none"/>
              </w:rPr>
              <w:t>单价(元/人/天)</w:t>
            </w:r>
          </w:p>
        </w:tc>
      </w:tr>
      <w:tr w14:paraId="129E2A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1171" w:type="dxa"/>
          </w:tcPr>
          <w:p w14:paraId="0E8459DD">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Cs/>
                <w:szCs w:val="21"/>
                <w:highlight w:val="none"/>
              </w:rPr>
            </w:pPr>
            <w:r>
              <w:rPr>
                <w:rFonts w:hint="default" w:ascii="Times New Roman" w:hAnsi="Times New Roman" w:eastAsia="宋体" w:cs="Times New Roman"/>
                <w:bCs/>
                <w:szCs w:val="21"/>
                <w:highlight w:val="none"/>
              </w:rPr>
              <w:t>1</w:t>
            </w:r>
          </w:p>
        </w:tc>
        <w:tc>
          <w:tcPr>
            <w:tcW w:w="3696" w:type="dxa"/>
            <w:vAlign w:val="center"/>
          </w:tcPr>
          <w:p w14:paraId="457EFB7B">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Cs/>
                <w:szCs w:val="21"/>
                <w:highlight w:val="none"/>
              </w:rPr>
            </w:pPr>
            <w:r>
              <w:rPr>
                <w:rFonts w:hint="default" w:ascii="Times New Roman" w:hAnsi="Times New Roman" w:eastAsia="宋体" w:cs="Times New Roman"/>
                <w:bCs/>
                <w:szCs w:val="21"/>
                <w:highlight w:val="none"/>
              </w:rPr>
              <w:t>***（填写相关内容）</w:t>
            </w:r>
          </w:p>
        </w:tc>
        <w:tc>
          <w:tcPr>
            <w:tcW w:w="3504" w:type="dxa"/>
            <w:vAlign w:val="center"/>
          </w:tcPr>
          <w:p w14:paraId="08F1CB0E">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Cs/>
                <w:szCs w:val="21"/>
                <w:highlight w:val="none"/>
              </w:rPr>
            </w:pPr>
          </w:p>
        </w:tc>
      </w:tr>
      <w:tr w14:paraId="568D81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1171" w:type="dxa"/>
          </w:tcPr>
          <w:p w14:paraId="13813D66">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Cs/>
                <w:szCs w:val="21"/>
                <w:highlight w:val="none"/>
              </w:rPr>
            </w:pPr>
            <w:r>
              <w:rPr>
                <w:rFonts w:hint="default" w:ascii="Times New Roman" w:hAnsi="Times New Roman" w:eastAsia="宋体" w:cs="Times New Roman"/>
                <w:bCs/>
                <w:szCs w:val="21"/>
                <w:highlight w:val="none"/>
              </w:rPr>
              <w:t>2</w:t>
            </w:r>
          </w:p>
        </w:tc>
        <w:tc>
          <w:tcPr>
            <w:tcW w:w="3696" w:type="dxa"/>
            <w:vAlign w:val="center"/>
          </w:tcPr>
          <w:p w14:paraId="34F27593">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Cs/>
                <w:szCs w:val="21"/>
                <w:highlight w:val="none"/>
              </w:rPr>
            </w:pPr>
            <w:r>
              <w:rPr>
                <w:rFonts w:hint="default" w:ascii="Times New Roman" w:hAnsi="Times New Roman" w:eastAsia="宋体" w:cs="Times New Roman"/>
                <w:bCs/>
                <w:szCs w:val="21"/>
                <w:highlight w:val="none"/>
              </w:rPr>
              <w:t>***</w:t>
            </w:r>
          </w:p>
        </w:tc>
        <w:tc>
          <w:tcPr>
            <w:tcW w:w="3504" w:type="dxa"/>
            <w:vAlign w:val="center"/>
          </w:tcPr>
          <w:p w14:paraId="70FA79F5">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Cs/>
                <w:szCs w:val="21"/>
                <w:highlight w:val="none"/>
              </w:rPr>
            </w:pPr>
          </w:p>
        </w:tc>
      </w:tr>
      <w:tr w14:paraId="067E3B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1171" w:type="dxa"/>
          </w:tcPr>
          <w:p w14:paraId="390C3C9C">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Cs/>
                <w:szCs w:val="21"/>
                <w:highlight w:val="none"/>
              </w:rPr>
            </w:pPr>
            <w:r>
              <w:rPr>
                <w:rFonts w:hint="default" w:ascii="Times New Roman" w:hAnsi="Times New Roman" w:eastAsia="宋体" w:cs="Times New Roman"/>
                <w:bCs/>
                <w:szCs w:val="21"/>
                <w:highlight w:val="none"/>
              </w:rPr>
              <w:t>3</w:t>
            </w:r>
          </w:p>
        </w:tc>
        <w:tc>
          <w:tcPr>
            <w:tcW w:w="3696" w:type="dxa"/>
            <w:vAlign w:val="center"/>
          </w:tcPr>
          <w:p w14:paraId="43671611">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Cs/>
                <w:szCs w:val="21"/>
                <w:highlight w:val="none"/>
              </w:rPr>
            </w:pPr>
            <w:r>
              <w:rPr>
                <w:rFonts w:hint="default" w:ascii="Times New Roman" w:hAnsi="Times New Roman" w:eastAsia="宋体" w:cs="Times New Roman"/>
                <w:bCs/>
                <w:szCs w:val="21"/>
                <w:highlight w:val="none"/>
              </w:rPr>
              <w:t>***</w:t>
            </w:r>
          </w:p>
        </w:tc>
        <w:tc>
          <w:tcPr>
            <w:tcW w:w="3504" w:type="dxa"/>
            <w:vAlign w:val="center"/>
          </w:tcPr>
          <w:p w14:paraId="2C598167">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Cs/>
                <w:szCs w:val="21"/>
                <w:highlight w:val="none"/>
              </w:rPr>
            </w:pPr>
          </w:p>
        </w:tc>
      </w:tr>
      <w:tr w14:paraId="7C57EC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4867" w:type="dxa"/>
            <w:gridSpan w:val="2"/>
          </w:tcPr>
          <w:p w14:paraId="59EA0237">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Cs/>
                <w:szCs w:val="21"/>
                <w:highlight w:val="none"/>
                <w:lang w:val="en-US" w:eastAsia="zh-CN"/>
              </w:rPr>
            </w:pPr>
            <w:r>
              <w:rPr>
                <w:rFonts w:hint="eastAsia" w:eastAsia="宋体" w:cs="Times New Roman"/>
                <w:bCs/>
                <w:szCs w:val="21"/>
                <w:highlight w:val="none"/>
                <w:lang w:val="en-US" w:eastAsia="zh-CN"/>
              </w:rPr>
              <w:t>单价合计</w:t>
            </w:r>
            <w:r>
              <w:rPr>
                <w:rFonts w:hint="default" w:ascii="Times New Roman" w:hAnsi="Times New Roman" w:eastAsia="宋体" w:cs="Times New Roman"/>
                <w:szCs w:val="21"/>
                <w:highlight w:val="none"/>
              </w:rPr>
              <w:t>(元/人/天)</w:t>
            </w:r>
          </w:p>
        </w:tc>
        <w:tc>
          <w:tcPr>
            <w:tcW w:w="3504" w:type="dxa"/>
            <w:vAlign w:val="center"/>
          </w:tcPr>
          <w:p w14:paraId="688D6AB4">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Cs/>
                <w:szCs w:val="21"/>
                <w:highlight w:val="none"/>
              </w:rPr>
            </w:pPr>
          </w:p>
        </w:tc>
      </w:tr>
    </w:tbl>
    <w:p w14:paraId="4F93C8E4">
      <w:pPr>
        <w:numPr>
          <w:ilvl w:val="0"/>
          <w:numId w:val="0"/>
        </w:numPr>
        <w:ind w:leftChars="0"/>
        <w:rPr>
          <w:rFonts w:hint="default"/>
        </w:rPr>
      </w:pPr>
    </w:p>
    <w:p w14:paraId="78B53D2E">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sz w:val="21"/>
          <w:szCs w:val="21"/>
          <w:highlight w:val="none"/>
        </w:rPr>
      </w:pPr>
      <w:r>
        <w:rPr>
          <w:rFonts w:hint="default" w:ascii="Times New Roman" w:hAnsi="Times New Roman" w:eastAsia="宋体" w:cs="Times New Roman"/>
          <w:b/>
          <w:sz w:val="21"/>
          <w:szCs w:val="21"/>
          <w:highlight w:val="none"/>
        </w:rPr>
        <w:t>注：1.本表可按同样格式扩展。</w:t>
      </w:r>
    </w:p>
    <w:p w14:paraId="2A6988BE">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sz w:val="21"/>
          <w:szCs w:val="21"/>
          <w:highlight w:val="none"/>
        </w:rPr>
      </w:pPr>
      <w:r>
        <w:rPr>
          <w:rFonts w:hint="eastAsia" w:cs="Times New Roman"/>
          <w:b/>
          <w:sz w:val="21"/>
          <w:szCs w:val="21"/>
          <w:highlight w:val="none"/>
          <w:lang w:val="en-US" w:eastAsia="zh-CN"/>
        </w:rPr>
        <w:t>2</w:t>
      </w:r>
      <w:r>
        <w:rPr>
          <w:rFonts w:hint="default" w:ascii="Times New Roman" w:hAnsi="Times New Roman" w:eastAsia="宋体" w:cs="Times New Roman"/>
          <w:b/>
          <w:sz w:val="21"/>
          <w:szCs w:val="21"/>
          <w:highlight w:val="none"/>
        </w:rPr>
        <w:t>.</w:t>
      </w:r>
      <w:r>
        <w:rPr>
          <w:rFonts w:hint="eastAsia" w:cs="Times New Roman"/>
          <w:b/>
          <w:sz w:val="21"/>
          <w:szCs w:val="21"/>
          <w:highlight w:val="none"/>
          <w:lang w:val="en-US" w:eastAsia="zh-CN"/>
        </w:rPr>
        <w:t>所有价格</w:t>
      </w:r>
      <w:r>
        <w:rPr>
          <w:rFonts w:hint="default" w:ascii="Times New Roman" w:hAnsi="Times New Roman" w:eastAsia="宋体" w:cs="Times New Roman"/>
          <w:b/>
          <w:sz w:val="21"/>
          <w:szCs w:val="21"/>
          <w:highlight w:val="none"/>
        </w:rPr>
        <w:t>为包干价，即三者均应包含价款、技术指导、培训、咨询、服务、保险、税费、和售后服务等其他各项有关费用。</w:t>
      </w:r>
    </w:p>
    <w:p w14:paraId="48FABF04">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sz w:val="21"/>
          <w:szCs w:val="21"/>
          <w:highlight w:val="none"/>
        </w:rPr>
      </w:pPr>
      <w:r>
        <w:rPr>
          <w:rFonts w:hint="eastAsia" w:cs="Times New Roman"/>
          <w:b/>
          <w:sz w:val="21"/>
          <w:szCs w:val="21"/>
          <w:highlight w:val="none"/>
          <w:lang w:val="en-US" w:eastAsia="zh-CN"/>
        </w:rPr>
        <w:t>3</w:t>
      </w:r>
      <w:r>
        <w:rPr>
          <w:rFonts w:hint="default" w:ascii="Times New Roman" w:hAnsi="Times New Roman" w:eastAsia="宋体" w:cs="Times New Roman"/>
          <w:b/>
          <w:sz w:val="21"/>
          <w:szCs w:val="21"/>
          <w:highlight w:val="none"/>
        </w:rPr>
        <w:t>.所有价格应按“招标文件”中规定的货币单位填写；项目报价表中单个采购预算条目报价均不得超过对应的财政预算限额，否则将导致投标无效。</w:t>
      </w:r>
    </w:p>
    <w:p w14:paraId="40DF8FE8">
      <w:pPr>
        <w:pageBreakBefore w:val="0"/>
        <w:tabs>
          <w:tab w:val="left" w:pos="720"/>
        </w:tabs>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sz w:val="24"/>
          <w:highlight w:val="none"/>
        </w:rPr>
      </w:pPr>
    </w:p>
    <w:p w14:paraId="63C4FE61">
      <w:pPr>
        <w:pageBreakBefore w:val="0"/>
        <w:tabs>
          <w:tab w:val="left" w:pos="720"/>
        </w:tabs>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sz w:val="24"/>
          <w:highlight w:val="none"/>
        </w:rPr>
      </w:pPr>
      <w:r>
        <w:rPr>
          <w:rFonts w:hint="default" w:ascii="Times New Roman" w:hAnsi="Times New Roman" w:eastAsia="宋体" w:cs="Times New Roman"/>
          <w:b/>
          <w:sz w:val="24"/>
          <w:highlight w:val="none"/>
        </w:rPr>
        <w:t>（</w:t>
      </w:r>
      <w:r>
        <w:rPr>
          <w:rFonts w:hint="eastAsia" w:eastAsia="宋体" w:cs="Times New Roman"/>
          <w:b/>
          <w:sz w:val="24"/>
          <w:highlight w:val="none"/>
          <w:lang w:val="en-US" w:eastAsia="zh-CN"/>
        </w:rPr>
        <w:t>二</w:t>
      </w:r>
      <w:r>
        <w:rPr>
          <w:rFonts w:hint="default" w:ascii="Times New Roman" w:hAnsi="Times New Roman" w:eastAsia="宋体" w:cs="Times New Roman"/>
          <w:b/>
          <w:sz w:val="24"/>
          <w:highlight w:val="none"/>
        </w:rPr>
        <w:t>）一对多陪护投标报价</w:t>
      </w:r>
    </w:p>
    <w:tbl>
      <w:tblPr>
        <w:tblStyle w:val="45"/>
        <w:tblpPr w:leftFromText="180" w:rightFromText="180" w:vertAnchor="text" w:horzAnchor="page" w:tblpX="1796" w:tblpY="339"/>
        <w:tblW w:w="837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71"/>
        <w:gridCol w:w="3696"/>
        <w:gridCol w:w="3504"/>
      </w:tblGrid>
      <w:tr w14:paraId="57BDE1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1171" w:type="dxa"/>
            <w:vAlign w:val="center"/>
          </w:tcPr>
          <w:p w14:paraId="5F220D72">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Cs/>
                <w:szCs w:val="21"/>
                <w:highlight w:val="none"/>
              </w:rPr>
            </w:pPr>
            <w:r>
              <w:rPr>
                <w:rFonts w:hint="default" w:ascii="Times New Roman" w:hAnsi="Times New Roman" w:eastAsia="宋体" w:cs="Times New Roman"/>
                <w:bCs/>
                <w:szCs w:val="21"/>
                <w:highlight w:val="none"/>
              </w:rPr>
              <w:t>序号</w:t>
            </w:r>
          </w:p>
        </w:tc>
        <w:tc>
          <w:tcPr>
            <w:tcW w:w="3696" w:type="dxa"/>
            <w:vAlign w:val="center"/>
          </w:tcPr>
          <w:p w14:paraId="3B4BC7C5">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Cs/>
                <w:szCs w:val="21"/>
                <w:highlight w:val="none"/>
              </w:rPr>
            </w:pPr>
            <w:r>
              <w:rPr>
                <w:rFonts w:hint="default" w:ascii="Times New Roman" w:hAnsi="Times New Roman" w:eastAsia="宋体" w:cs="Times New Roman"/>
                <w:bCs/>
                <w:szCs w:val="21"/>
                <w:highlight w:val="none"/>
              </w:rPr>
              <w:t>名称</w:t>
            </w:r>
          </w:p>
        </w:tc>
        <w:tc>
          <w:tcPr>
            <w:tcW w:w="3504" w:type="dxa"/>
            <w:vAlign w:val="center"/>
          </w:tcPr>
          <w:p w14:paraId="4535C21C">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Cs/>
                <w:szCs w:val="21"/>
                <w:highlight w:val="none"/>
              </w:rPr>
            </w:pPr>
            <w:r>
              <w:rPr>
                <w:rFonts w:hint="default" w:ascii="Times New Roman" w:hAnsi="Times New Roman" w:eastAsia="宋体" w:cs="Times New Roman"/>
                <w:szCs w:val="21"/>
                <w:highlight w:val="none"/>
              </w:rPr>
              <w:t>单价(元/人/天)</w:t>
            </w:r>
          </w:p>
        </w:tc>
      </w:tr>
      <w:tr w14:paraId="565020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1171" w:type="dxa"/>
          </w:tcPr>
          <w:p w14:paraId="2B62E291">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Cs/>
                <w:szCs w:val="21"/>
                <w:highlight w:val="none"/>
              </w:rPr>
            </w:pPr>
            <w:r>
              <w:rPr>
                <w:rFonts w:hint="default" w:ascii="Times New Roman" w:hAnsi="Times New Roman" w:eastAsia="宋体" w:cs="Times New Roman"/>
                <w:bCs/>
                <w:szCs w:val="21"/>
                <w:highlight w:val="none"/>
              </w:rPr>
              <w:t>1</w:t>
            </w:r>
          </w:p>
        </w:tc>
        <w:tc>
          <w:tcPr>
            <w:tcW w:w="3696" w:type="dxa"/>
            <w:vAlign w:val="center"/>
          </w:tcPr>
          <w:p w14:paraId="0EA08ADC">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Cs/>
                <w:szCs w:val="21"/>
                <w:highlight w:val="none"/>
              </w:rPr>
            </w:pPr>
            <w:r>
              <w:rPr>
                <w:rFonts w:hint="default" w:ascii="Times New Roman" w:hAnsi="Times New Roman" w:eastAsia="宋体" w:cs="Times New Roman"/>
                <w:bCs/>
                <w:szCs w:val="21"/>
                <w:highlight w:val="none"/>
              </w:rPr>
              <w:t>***（填写相关内容）</w:t>
            </w:r>
          </w:p>
        </w:tc>
        <w:tc>
          <w:tcPr>
            <w:tcW w:w="3504" w:type="dxa"/>
            <w:vAlign w:val="center"/>
          </w:tcPr>
          <w:p w14:paraId="6861C292">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Cs/>
                <w:szCs w:val="21"/>
                <w:highlight w:val="none"/>
              </w:rPr>
            </w:pPr>
          </w:p>
        </w:tc>
      </w:tr>
      <w:tr w14:paraId="64AB80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1171" w:type="dxa"/>
          </w:tcPr>
          <w:p w14:paraId="7CF8184D">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Cs/>
                <w:szCs w:val="21"/>
                <w:highlight w:val="none"/>
              </w:rPr>
            </w:pPr>
            <w:r>
              <w:rPr>
                <w:rFonts w:hint="default" w:ascii="Times New Roman" w:hAnsi="Times New Roman" w:eastAsia="宋体" w:cs="Times New Roman"/>
                <w:bCs/>
                <w:szCs w:val="21"/>
                <w:highlight w:val="none"/>
              </w:rPr>
              <w:t>2</w:t>
            </w:r>
          </w:p>
        </w:tc>
        <w:tc>
          <w:tcPr>
            <w:tcW w:w="3696" w:type="dxa"/>
            <w:vAlign w:val="center"/>
          </w:tcPr>
          <w:p w14:paraId="33FE6A47">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Cs/>
                <w:szCs w:val="21"/>
                <w:highlight w:val="none"/>
              </w:rPr>
            </w:pPr>
            <w:r>
              <w:rPr>
                <w:rFonts w:hint="default" w:ascii="Times New Roman" w:hAnsi="Times New Roman" w:eastAsia="宋体" w:cs="Times New Roman"/>
                <w:bCs/>
                <w:szCs w:val="21"/>
                <w:highlight w:val="none"/>
              </w:rPr>
              <w:t>***</w:t>
            </w:r>
          </w:p>
        </w:tc>
        <w:tc>
          <w:tcPr>
            <w:tcW w:w="3504" w:type="dxa"/>
            <w:vAlign w:val="center"/>
          </w:tcPr>
          <w:p w14:paraId="2829C736">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Cs/>
                <w:szCs w:val="21"/>
                <w:highlight w:val="none"/>
              </w:rPr>
            </w:pPr>
          </w:p>
        </w:tc>
      </w:tr>
      <w:tr w14:paraId="3D9023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1171" w:type="dxa"/>
          </w:tcPr>
          <w:p w14:paraId="21EED2B6">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Cs/>
                <w:szCs w:val="21"/>
                <w:highlight w:val="none"/>
              </w:rPr>
            </w:pPr>
            <w:r>
              <w:rPr>
                <w:rFonts w:hint="default" w:ascii="Times New Roman" w:hAnsi="Times New Roman" w:eastAsia="宋体" w:cs="Times New Roman"/>
                <w:bCs/>
                <w:szCs w:val="21"/>
                <w:highlight w:val="none"/>
              </w:rPr>
              <w:t>3</w:t>
            </w:r>
          </w:p>
        </w:tc>
        <w:tc>
          <w:tcPr>
            <w:tcW w:w="3696" w:type="dxa"/>
            <w:vAlign w:val="center"/>
          </w:tcPr>
          <w:p w14:paraId="71296C5A">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Cs/>
                <w:szCs w:val="21"/>
                <w:highlight w:val="none"/>
              </w:rPr>
            </w:pPr>
            <w:r>
              <w:rPr>
                <w:rFonts w:hint="default" w:ascii="Times New Roman" w:hAnsi="Times New Roman" w:eastAsia="宋体" w:cs="Times New Roman"/>
                <w:bCs/>
                <w:szCs w:val="21"/>
                <w:highlight w:val="none"/>
              </w:rPr>
              <w:t>***</w:t>
            </w:r>
          </w:p>
        </w:tc>
        <w:tc>
          <w:tcPr>
            <w:tcW w:w="3504" w:type="dxa"/>
            <w:vAlign w:val="center"/>
          </w:tcPr>
          <w:p w14:paraId="1A0D7ADF">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Cs/>
                <w:szCs w:val="21"/>
                <w:highlight w:val="none"/>
              </w:rPr>
            </w:pPr>
          </w:p>
        </w:tc>
      </w:tr>
      <w:tr w14:paraId="0F1829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4867" w:type="dxa"/>
            <w:gridSpan w:val="2"/>
          </w:tcPr>
          <w:p w14:paraId="7A440D50">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Cs/>
                <w:szCs w:val="21"/>
                <w:highlight w:val="none"/>
                <w:lang w:val="en-US" w:eastAsia="zh-CN"/>
              </w:rPr>
            </w:pPr>
            <w:r>
              <w:rPr>
                <w:rFonts w:hint="eastAsia" w:eastAsia="宋体" w:cs="Times New Roman"/>
                <w:bCs/>
                <w:szCs w:val="21"/>
                <w:highlight w:val="none"/>
                <w:lang w:val="en-US" w:eastAsia="zh-CN"/>
              </w:rPr>
              <w:t>单价合计</w:t>
            </w:r>
            <w:r>
              <w:rPr>
                <w:rFonts w:hint="default" w:ascii="Times New Roman" w:hAnsi="Times New Roman" w:eastAsia="宋体" w:cs="Times New Roman"/>
                <w:szCs w:val="21"/>
                <w:highlight w:val="none"/>
              </w:rPr>
              <w:t>(元/人/天)</w:t>
            </w:r>
          </w:p>
        </w:tc>
        <w:tc>
          <w:tcPr>
            <w:tcW w:w="3504" w:type="dxa"/>
            <w:vAlign w:val="center"/>
          </w:tcPr>
          <w:p w14:paraId="02122266">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Cs/>
                <w:szCs w:val="21"/>
                <w:highlight w:val="none"/>
              </w:rPr>
            </w:pPr>
          </w:p>
        </w:tc>
      </w:tr>
    </w:tbl>
    <w:p w14:paraId="476694EF">
      <w:pPr>
        <w:numPr>
          <w:ilvl w:val="0"/>
          <w:numId w:val="0"/>
        </w:numPr>
        <w:ind w:leftChars="0"/>
        <w:rPr>
          <w:rFonts w:hint="default"/>
        </w:rPr>
      </w:pPr>
    </w:p>
    <w:p w14:paraId="728F4135">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sz w:val="21"/>
          <w:szCs w:val="21"/>
          <w:highlight w:val="none"/>
        </w:rPr>
      </w:pPr>
      <w:r>
        <w:rPr>
          <w:rFonts w:hint="default" w:ascii="Times New Roman" w:hAnsi="Times New Roman" w:eastAsia="宋体" w:cs="Times New Roman"/>
          <w:b/>
          <w:sz w:val="21"/>
          <w:szCs w:val="21"/>
          <w:highlight w:val="none"/>
        </w:rPr>
        <w:t>注：1.本表可按同样格式扩展。</w:t>
      </w:r>
    </w:p>
    <w:p w14:paraId="3E2F9A5D">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sz w:val="21"/>
          <w:szCs w:val="21"/>
          <w:highlight w:val="none"/>
        </w:rPr>
      </w:pPr>
      <w:r>
        <w:rPr>
          <w:rFonts w:hint="eastAsia" w:cs="Times New Roman"/>
          <w:b/>
          <w:sz w:val="21"/>
          <w:szCs w:val="21"/>
          <w:highlight w:val="none"/>
          <w:lang w:val="en-US" w:eastAsia="zh-CN"/>
        </w:rPr>
        <w:t>2</w:t>
      </w:r>
      <w:r>
        <w:rPr>
          <w:rFonts w:hint="default" w:ascii="Times New Roman" w:hAnsi="Times New Roman" w:eastAsia="宋体" w:cs="Times New Roman"/>
          <w:b/>
          <w:sz w:val="21"/>
          <w:szCs w:val="21"/>
          <w:highlight w:val="none"/>
        </w:rPr>
        <w:t>.</w:t>
      </w:r>
      <w:r>
        <w:rPr>
          <w:rFonts w:hint="eastAsia" w:cs="Times New Roman"/>
          <w:b/>
          <w:sz w:val="21"/>
          <w:szCs w:val="21"/>
          <w:highlight w:val="none"/>
          <w:lang w:val="en-US" w:eastAsia="zh-CN"/>
        </w:rPr>
        <w:t>所有价格</w:t>
      </w:r>
      <w:r>
        <w:rPr>
          <w:rFonts w:hint="default" w:ascii="Times New Roman" w:hAnsi="Times New Roman" w:eastAsia="宋体" w:cs="Times New Roman"/>
          <w:b/>
          <w:sz w:val="21"/>
          <w:szCs w:val="21"/>
          <w:highlight w:val="none"/>
        </w:rPr>
        <w:t>为包干价，即三者均应包含价款、技术指导、培训、咨询、服务、保险、税费、和售后服务等其他各项有关费用。</w:t>
      </w:r>
    </w:p>
    <w:p w14:paraId="2EE290C7">
      <w:pPr>
        <w:rPr>
          <w:rFonts w:hint="default" w:ascii="Times New Roman" w:hAnsi="Times New Roman" w:eastAsia="宋体" w:cs="Times New Roman"/>
          <w:b/>
          <w:color w:val="FF0000"/>
          <w:sz w:val="24"/>
          <w:highlight w:val="none"/>
        </w:rPr>
      </w:pPr>
      <w:r>
        <w:rPr>
          <w:rFonts w:hint="eastAsia" w:cs="Times New Roman"/>
          <w:b/>
          <w:sz w:val="21"/>
          <w:szCs w:val="21"/>
          <w:highlight w:val="none"/>
          <w:lang w:val="en-US" w:eastAsia="zh-CN"/>
        </w:rPr>
        <w:t>3</w:t>
      </w:r>
      <w:r>
        <w:rPr>
          <w:rFonts w:hint="default" w:ascii="Times New Roman" w:hAnsi="Times New Roman" w:eastAsia="宋体" w:cs="Times New Roman"/>
          <w:b/>
          <w:sz w:val="21"/>
          <w:szCs w:val="21"/>
          <w:highlight w:val="none"/>
        </w:rPr>
        <w:t>.所有价格应按“招标文件”中规定的货币单位填写；项目报价表中单个采购预算条目报价均不得超过对应的财政预算限额，否则将导致投标无效。</w:t>
      </w:r>
      <w:r>
        <w:rPr>
          <w:rFonts w:hint="default" w:ascii="Times New Roman" w:hAnsi="Times New Roman" w:eastAsia="宋体" w:cs="Times New Roman"/>
          <w:b/>
          <w:color w:val="FF0000"/>
          <w:sz w:val="24"/>
          <w:highlight w:val="none"/>
        </w:rPr>
        <w:br w:type="page"/>
      </w:r>
    </w:p>
    <w:p w14:paraId="2D4F42FC">
      <w:pPr>
        <w:bidi w:val="0"/>
        <w:jc w:val="left"/>
        <w:rPr>
          <w:rFonts w:hint="default" w:ascii="Times New Roman" w:hAnsi="Times New Roman" w:eastAsia="宋体" w:cs="Times New Roman"/>
          <w:kern w:val="2"/>
          <w:sz w:val="21"/>
          <w:szCs w:val="24"/>
          <w:lang w:val="en-US" w:eastAsia="zh-CN" w:bidi="ar-SA"/>
        </w:rPr>
      </w:pPr>
    </w:p>
    <w:p w14:paraId="2DBF01A5">
      <w:pPr>
        <w:pageBreakBefore w:val="0"/>
        <w:numPr>
          <w:ilvl w:val="0"/>
          <w:numId w:val="10"/>
        </w:numPr>
        <w:tabs>
          <w:tab w:val="left" w:pos="720"/>
        </w:tabs>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sz w:val="24"/>
          <w:highlight w:val="none"/>
        </w:rPr>
      </w:pPr>
      <w:r>
        <w:rPr>
          <w:rFonts w:hint="default" w:ascii="Times New Roman" w:hAnsi="Times New Roman" w:eastAsia="宋体" w:cs="Times New Roman"/>
          <w:b/>
          <w:sz w:val="24"/>
          <w:highlight w:val="none"/>
        </w:rPr>
        <w:t>一对一产科陪护投标报价</w:t>
      </w:r>
    </w:p>
    <w:tbl>
      <w:tblPr>
        <w:tblStyle w:val="45"/>
        <w:tblpPr w:leftFromText="180" w:rightFromText="180" w:vertAnchor="text" w:horzAnchor="page" w:tblpX="1796" w:tblpY="339"/>
        <w:tblW w:w="837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71"/>
        <w:gridCol w:w="3696"/>
        <w:gridCol w:w="3504"/>
      </w:tblGrid>
      <w:tr w14:paraId="0246C0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1171" w:type="dxa"/>
            <w:vAlign w:val="center"/>
          </w:tcPr>
          <w:p w14:paraId="72244DD7">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Cs/>
                <w:szCs w:val="21"/>
                <w:highlight w:val="none"/>
              </w:rPr>
            </w:pPr>
            <w:r>
              <w:rPr>
                <w:rFonts w:hint="default" w:ascii="Times New Roman" w:hAnsi="Times New Roman" w:eastAsia="宋体" w:cs="Times New Roman"/>
                <w:bCs/>
                <w:szCs w:val="21"/>
                <w:highlight w:val="none"/>
              </w:rPr>
              <w:t>序号</w:t>
            </w:r>
          </w:p>
        </w:tc>
        <w:tc>
          <w:tcPr>
            <w:tcW w:w="3696" w:type="dxa"/>
            <w:vAlign w:val="center"/>
          </w:tcPr>
          <w:p w14:paraId="41C9A5C9">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Cs/>
                <w:szCs w:val="21"/>
                <w:highlight w:val="none"/>
              </w:rPr>
            </w:pPr>
            <w:r>
              <w:rPr>
                <w:rFonts w:hint="default" w:ascii="Times New Roman" w:hAnsi="Times New Roman" w:eastAsia="宋体" w:cs="Times New Roman"/>
                <w:bCs/>
                <w:szCs w:val="21"/>
                <w:highlight w:val="none"/>
              </w:rPr>
              <w:t>名称</w:t>
            </w:r>
          </w:p>
        </w:tc>
        <w:tc>
          <w:tcPr>
            <w:tcW w:w="3504" w:type="dxa"/>
            <w:vAlign w:val="center"/>
          </w:tcPr>
          <w:p w14:paraId="44A5C19C">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Cs/>
                <w:szCs w:val="21"/>
                <w:highlight w:val="none"/>
              </w:rPr>
            </w:pPr>
            <w:r>
              <w:rPr>
                <w:rFonts w:hint="default" w:ascii="Times New Roman" w:hAnsi="Times New Roman" w:eastAsia="宋体" w:cs="Times New Roman"/>
                <w:szCs w:val="21"/>
                <w:highlight w:val="none"/>
              </w:rPr>
              <w:t>单价(元/人/天)</w:t>
            </w:r>
          </w:p>
        </w:tc>
      </w:tr>
      <w:tr w14:paraId="13FD5C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1171" w:type="dxa"/>
          </w:tcPr>
          <w:p w14:paraId="489E9538">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Cs/>
                <w:szCs w:val="21"/>
                <w:highlight w:val="none"/>
              </w:rPr>
            </w:pPr>
            <w:r>
              <w:rPr>
                <w:rFonts w:hint="default" w:ascii="Times New Roman" w:hAnsi="Times New Roman" w:eastAsia="宋体" w:cs="Times New Roman"/>
                <w:bCs/>
                <w:szCs w:val="21"/>
                <w:highlight w:val="none"/>
              </w:rPr>
              <w:t>1</w:t>
            </w:r>
          </w:p>
        </w:tc>
        <w:tc>
          <w:tcPr>
            <w:tcW w:w="3696" w:type="dxa"/>
            <w:vAlign w:val="center"/>
          </w:tcPr>
          <w:p w14:paraId="62F3A0B4">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Cs/>
                <w:szCs w:val="21"/>
                <w:highlight w:val="none"/>
              </w:rPr>
            </w:pPr>
            <w:r>
              <w:rPr>
                <w:rFonts w:hint="default" w:ascii="Times New Roman" w:hAnsi="Times New Roman" w:eastAsia="宋体" w:cs="Times New Roman"/>
                <w:bCs/>
                <w:szCs w:val="21"/>
                <w:highlight w:val="none"/>
              </w:rPr>
              <w:t>***（填写相关内容）</w:t>
            </w:r>
          </w:p>
        </w:tc>
        <w:tc>
          <w:tcPr>
            <w:tcW w:w="3504" w:type="dxa"/>
            <w:vAlign w:val="center"/>
          </w:tcPr>
          <w:p w14:paraId="3978034B">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Cs/>
                <w:szCs w:val="21"/>
                <w:highlight w:val="none"/>
              </w:rPr>
            </w:pPr>
          </w:p>
        </w:tc>
      </w:tr>
      <w:tr w14:paraId="70FCA5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1171" w:type="dxa"/>
          </w:tcPr>
          <w:p w14:paraId="1FD231D4">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Cs/>
                <w:szCs w:val="21"/>
                <w:highlight w:val="none"/>
              </w:rPr>
            </w:pPr>
            <w:r>
              <w:rPr>
                <w:rFonts w:hint="default" w:ascii="Times New Roman" w:hAnsi="Times New Roman" w:eastAsia="宋体" w:cs="Times New Roman"/>
                <w:bCs/>
                <w:szCs w:val="21"/>
                <w:highlight w:val="none"/>
              </w:rPr>
              <w:t>2</w:t>
            </w:r>
          </w:p>
        </w:tc>
        <w:tc>
          <w:tcPr>
            <w:tcW w:w="3696" w:type="dxa"/>
            <w:vAlign w:val="center"/>
          </w:tcPr>
          <w:p w14:paraId="5DD4C014">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Cs/>
                <w:szCs w:val="21"/>
                <w:highlight w:val="none"/>
              </w:rPr>
            </w:pPr>
            <w:r>
              <w:rPr>
                <w:rFonts w:hint="default" w:ascii="Times New Roman" w:hAnsi="Times New Roman" w:eastAsia="宋体" w:cs="Times New Roman"/>
                <w:bCs/>
                <w:szCs w:val="21"/>
                <w:highlight w:val="none"/>
              </w:rPr>
              <w:t>***</w:t>
            </w:r>
          </w:p>
        </w:tc>
        <w:tc>
          <w:tcPr>
            <w:tcW w:w="3504" w:type="dxa"/>
            <w:vAlign w:val="center"/>
          </w:tcPr>
          <w:p w14:paraId="19BD0491">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Cs/>
                <w:szCs w:val="21"/>
                <w:highlight w:val="none"/>
              </w:rPr>
            </w:pPr>
          </w:p>
        </w:tc>
      </w:tr>
      <w:tr w14:paraId="6838D9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1171" w:type="dxa"/>
          </w:tcPr>
          <w:p w14:paraId="775B44FB">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Cs/>
                <w:szCs w:val="21"/>
                <w:highlight w:val="none"/>
              </w:rPr>
            </w:pPr>
            <w:r>
              <w:rPr>
                <w:rFonts w:hint="default" w:ascii="Times New Roman" w:hAnsi="Times New Roman" w:eastAsia="宋体" w:cs="Times New Roman"/>
                <w:bCs/>
                <w:szCs w:val="21"/>
                <w:highlight w:val="none"/>
              </w:rPr>
              <w:t>3</w:t>
            </w:r>
          </w:p>
        </w:tc>
        <w:tc>
          <w:tcPr>
            <w:tcW w:w="3696" w:type="dxa"/>
            <w:vAlign w:val="center"/>
          </w:tcPr>
          <w:p w14:paraId="4EF54896">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Cs/>
                <w:szCs w:val="21"/>
                <w:highlight w:val="none"/>
              </w:rPr>
            </w:pPr>
            <w:r>
              <w:rPr>
                <w:rFonts w:hint="default" w:ascii="Times New Roman" w:hAnsi="Times New Roman" w:eastAsia="宋体" w:cs="Times New Roman"/>
                <w:bCs/>
                <w:szCs w:val="21"/>
                <w:highlight w:val="none"/>
              </w:rPr>
              <w:t>***</w:t>
            </w:r>
          </w:p>
        </w:tc>
        <w:tc>
          <w:tcPr>
            <w:tcW w:w="3504" w:type="dxa"/>
            <w:vAlign w:val="center"/>
          </w:tcPr>
          <w:p w14:paraId="1B8B0211">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Cs/>
                <w:szCs w:val="21"/>
                <w:highlight w:val="none"/>
              </w:rPr>
            </w:pPr>
          </w:p>
        </w:tc>
      </w:tr>
      <w:tr w14:paraId="2DFCDC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4867" w:type="dxa"/>
            <w:gridSpan w:val="2"/>
          </w:tcPr>
          <w:p w14:paraId="39777F1C">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Cs/>
                <w:szCs w:val="21"/>
                <w:highlight w:val="none"/>
                <w:lang w:val="en-US" w:eastAsia="zh-CN"/>
              </w:rPr>
            </w:pPr>
            <w:r>
              <w:rPr>
                <w:rFonts w:hint="eastAsia" w:eastAsia="宋体" w:cs="Times New Roman"/>
                <w:bCs/>
                <w:szCs w:val="21"/>
                <w:highlight w:val="none"/>
                <w:lang w:val="en-US" w:eastAsia="zh-CN"/>
              </w:rPr>
              <w:t>单价合计</w:t>
            </w:r>
            <w:r>
              <w:rPr>
                <w:rFonts w:hint="default" w:ascii="Times New Roman" w:hAnsi="Times New Roman" w:eastAsia="宋体" w:cs="Times New Roman"/>
                <w:szCs w:val="21"/>
                <w:highlight w:val="none"/>
              </w:rPr>
              <w:t>(元/人/天)</w:t>
            </w:r>
          </w:p>
        </w:tc>
        <w:tc>
          <w:tcPr>
            <w:tcW w:w="3504" w:type="dxa"/>
            <w:vAlign w:val="center"/>
          </w:tcPr>
          <w:p w14:paraId="687AF093">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Cs/>
                <w:szCs w:val="21"/>
                <w:highlight w:val="none"/>
              </w:rPr>
            </w:pPr>
          </w:p>
        </w:tc>
      </w:tr>
    </w:tbl>
    <w:p w14:paraId="17DE7ECA">
      <w:pPr>
        <w:numPr>
          <w:ilvl w:val="0"/>
          <w:numId w:val="0"/>
        </w:numPr>
        <w:ind w:leftChars="0"/>
        <w:rPr>
          <w:rFonts w:hint="default"/>
        </w:rPr>
      </w:pPr>
    </w:p>
    <w:p w14:paraId="1F8EB8D3">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sz w:val="21"/>
          <w:szCs w:val="21"/>
          <w:highlight w:val="none"/>
        </w:rPr>
      </w:pPr>
      <w:r>
        <w:rPr>
          <w:rFonts w:hint="default" w:ascii="Times New Roman" w:hAnsi="Times New Roman" w:eastAsia="宋体" w:cs="Times New Roman"/>
          <w:b/>
          <w:sz w:val="21"/>
          <w:szCs w:val="21"/>
          <w:highlight w:val="none"/>
        </w:rPr>
        <w:t>注：1.本表可按同样格式扩展。</w:t>
      </w:r>
    </w:p>
    <w:p w14:paraId="6C477E38">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sz w:val="21"/>
          <w:szCs w:val="21"/>
          <w:highlight w:val="none"/>
        </w:rPr>
      </w:pPr>
      <w:r>
        <w:rPr>
          <w:rFonts w:hint="eastAsia" w:cs="Times New Roman"/>
          <w:b/>
          <w:sz w:val="21"/>
          <w:szCs w:val="21"/>
          <w:highlight w:val="none"/>
          <w:lang w:val="en-US" w:eastAsia="zh-CN"/>
        </w:rPr>
        <w:t>2</w:t>
      </w:r>
      <w:r>
        <w:rPr>
          <w:rFonts w:hint="default" w:ascii="Times New Roman" w:hAnsi="Times New Roman" w:eastAsia="宋体" w:cs="Times New Roman"/>
          <w:b/>
          <w:sz w:val="21"/>
          <w:szCs w:val="21"/>
          <w:highlight w:val="none"/>
        </w:rPr>
        <w:t>.</w:t>
      </w:r>
      <w:r>
        <w:rPr>
          <w:rFonts w:hint="eastAsia" w:cs="Times New Roman"/>
          <w:b/>
          <w:sz w:val="21"/>
          <w:szCs w:val="21"/>
          <w:highlight w:val="none"/>
          <w:lang w:val="en-US" w:eastAsia="zh-CN"/>
        </w:rPr>
        <w:t>所有价格</w:t>
      </w:r>
      <w:r>
        <w:rPr>
          <w:rFonts w:hint="default" w:ascii="Times New Roman" w:hAnsi="Times New Roman" w:eastAsia="宋体" w:cs="Times New Roman"/>
          <w:b/>
          <w:sz w:val="21"/>
          <w:szCs w:val="21"/>
          <w:highlight w:val="none"/>
        </w:rPr>
        <w:t>为包干价，即三者均应包含价款、技术指导、培训、咨询、服务、保险、税费、和售后服务等其他各项有关费用。</w:t>
      </w:r>
    </w:p>
    <w:p w14:paraId="18A42082">
      <w:pPr>
        <w:pStyle w:val="2"/>
        <w:rPr>
          <w:rFonts w:hint="default"/>
        </w:rPr>
      </w:pPr>
      <w:r>
        <w:rPr>
          <w:rFonts w:hint="eastAsia" w:cs="Times New Roman"/>
          <w:b/>
          <w:sz w:val="21"/>
          <w:szCs w:val="21"/>
          <w:highlight w:val="none"/>
          <w:lang w:val="en-US" w:eastAsia="zh-CN"/>
        </w:rPr>
        <w:t>3</w:t>
      </w:r>
      <w:r>
        <w:rPr>
          <w:rFonts w:hint="default" w:ascii="Times New Roman" w:hAnsi="Times New Roman" w:eastAsia="宋体" w:cs="Times New Roman"/>
          <w:b/>
          <w:sz w:val="21"/>
          <w:szCs w:val="21"/>
          <w:highlight w:val="none"/>
        </w:rPr>
        <w:t>.所有价格应按“招标文件”中规定的货币单位填写；项目报价表中单个采购预算条目报价均不得超过对应的财政预算限额，否则将导致投标无效。</w:t>
      </w:r>
    </w:p>
    <w:p w14:paraId="5D32ACE8">
      <w:pPr>
        <w:pStyle w:val="2"/>
        <w:numPr>
          <w:ilvl w:val="0"/>
          <w:numId w:val="0"/>
        </w:numPr>
        <w:rPr>
          <w:rFonts w:hint="default"/>
        </w:rPr>
      </w:pPr>
    </w:p>
    <w:p w14:paraId="54211509">
      <w:pPr>
        <w:pageBreakBefore w:val="0"/>
        <w:numPr>
          <w:ilvl w:val="0"/>
          <w:numId w:val="10"/>
        </w:numPr>
        <w:tabs>
          <w:tab w:val="left" w:pos="720"/>
        </w:tabs>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sz w:val="24"/>
          <w:highlight w:val="none"/>
        </w:rPr>
      </w:pPr>
      <w:r>
        <w:rPr>
          <w:rFonts w:hint="default" w:ascii="Times New Roman" w:hAnsi="Times New Roman" w:eastAsia="宋体" w:cs="Times New Roman"/>
          <w:b/>
          <w:sz w:val="24"/>
          <w:highlight w:val="none"/>
        </w:rPr>
        <w:t>租床投标报价</w:t>
      </w:r>
    </w:p>
    <w:tbl>
      <w:tblPr>
        <w:tblStyle w:val="45"/>
        <w:tblpPr w:leftFromText="180" w:rightFromText="180" w:vertAnchor="text" w:horzAnchor="page" w:tblpX="1796" w:tblpY="339"/>
        <w:tblW w:w="837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71"/>
        <w:gridCol w:w="3696"/>
        <w:gridCol w:w="3504"/>
      </w:tblGrid>
      <w:tr w14:paraId="7050AC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70" w:hRule="atLeast"/>
        </w:trPr>
        <w:tc>
          <w:tcPr>
            <w:tcW w:w="1171" w:type="dxa"/>
            <w:vAlign w:val="center"/>
          </w:tcPr>
          <w:p w14:paraId="7DDCB3CA">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Cs/>
                <w:szCs w:val="21"/>
                <w:highlight w:val="none"/>
              </w:rPr>
            </w:pPr>
            <w:r>
              <w:rPr>
                <w:rFonts w:hint="default" w:ascii="Times New Roman" w:hAnsi="Times New Roman" w:eastAsia="宋体" w:cs="Times New Roman"/>
                <w:bCs/>
                <w:szCs w:val="21"/>
                <w:highlight w:val="none"/>
              </w:rPr>
              <w:t>序号</w:t>
            </w:r>
          </w:p>
        </w:tc>
        <w:tc>
          <w:tcPr>
            <w:tcW w:w="3696" w:type="dxa"/>
            <w:vAlign w:val="center"/>
          </w:tcPr>
          <w:p w14:paraId="2E0EE252">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Cs/>
                <w:szCs w:val="21"/>
                <w:highlight w:val="none"/>
              </w:rPr>
            </w:pPr>
            <w:r>
              <w:rPr>
                <w:rFonts w:hint="default" w:ascii="Times New Roman" w:hAnsi="Times New Roman" w:eastAsia="宋体" w:cs="Times New Roman"/>
                <w:bCs/>
                <w:szCs w:val="21"/>
                <w:highlight w:val="none"/>
              </w:rPr>
              <w:t>名称</w:t>
            </w:r>
          </w:p>
        </w:tc>
        <w:tc>
          <w:tcPr>
            <w:tcW w:w="3504" w:type="dxa"/>
            <w:vAlign w:val="center"/>
          </w:tcPr>
          <w:p w14:paraId="38110529">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Cs/>
                <w:szCs w:val="21"/>
                <w:highlight w:val="none"/>
              </w:rPr>
            </w:pPr>
            <w:r>
              <w:rPr>
                <w:rFonts w:hint="default" w:ascii="Times New Roman" w:hAnsi="Times New Roman" w:eastAsia="宋体" w:cs="Times New Roman"/>
                <w:szCs w:val="21"/>
                <w:highlight w:val="none"/>
              </w:rPr>
              <w:t>单价(元/人/天)</w:t>
            </w:r>
          </w:p>
        </w:tc>
      </w:tr>
      <w:tr w14:paraId="23A69D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1171" w:type="dxa"/>
          </w:tcPr>
          <w:p w14:paraId="7A98A9C3">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Cs/>
                <w:szCs w:val="21"/>
                <w:highlight w:val="none"/>
              </w:rPr>
            </w:pPr>
            <w:r>
              <w:rPr>
                <w:rFonts w:hint="default" w:ascii="Times New Roman" w:hAnsi="Times New Roman" w:eastAsia="宋体" w:cs="Times New Roman"/>
                <w:bCs/>
                <w:szCs w:val="21"/>
                <w:highlight w:val="none"/>
              </w:rPr>
              <w:t>1</w:t>
            </w:r>
          </w:p>
        </w:tc>
        <w:tc>
          <w:tcPr>
            <w:tcW w:w="3696" w:type="dxa"/>
            <w:vAlign w:val="center"/>
          </w:tcPr>
          <w:p w14:paraId="030DB196">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Cs/>
                <w:szCs w:val="21"/>
                <w:highlight w:val="none"/>
              </w:rPr>
            </w:pPr>
            <w:r>
              <w:rPr>
                <w:rFonts w:hint="default" w:ascii="Times New Roman" w:hAnsi="Times New Roman" w:eastAsia="宋体" w:cs="Times New Roman"/>
                <w:bCs/>
                <w:szCs w:val="21"/>
                <w:highlight w:val="none"/>
              </w:rPr>
              <w:t>***（填写相关内容）</w:t>
            </w:r>
          </w:p>
        </w:tc>
        <w:tc>
          <w:tcPr>
            <w:tcW w:w="3504" w:type="dxa"/>
            <w:vAlign w:val="center"/>
          </w:tcPr>
          <w:p w14:paraId="6FCA685B">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Cs/>
                <w:szCs w:val="21"/>
                <w:highlight w:val="none"/>
              </w:rPr>
            </w:pPr>
          </w:p>
        </w:tc>
      </w:tr>
      <w:tr w14:paraId="1365C2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1171" w:type="dxa"/>
          </w:tcPr>
          <w:p w14:paraId="688540E5">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Cs/>
                <w:szCs w:val="21"/>
                <w:highlight w:val="none"/>
              </w:rPr>
            </w:pPr>
            <w:r>
              <w:rPr>
                <w:rFonts w:hint="default" w:ascii="Times New Roman" w:hAnsi="Times New Roman" w:eastAsia="宋体" w:cs="Times New Roman"/>
                <w:bCs/>
                <w:szCs w:val="21"/>
                <w:highlight w:val="none"/>
              </w:rPr>
              <w:t>2</w:t>
            </w:r>
          </w:p>
        </w:tc>
        <w:tc>
          <w:tcPr>
            <w:tcW w:w="3696" w:type="dxa"/>
            <w:vAlign w:val="center"/>
          </w:tcPr>
          <w:p w14:paraId="22CE3EE7">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Cs/>
                <w:szCs w:val="21"/>
                <w:highlight w:val="none"/>
              </w:rPr>
            </w:pPr>
            <w:r>
              <w:rPr>
                <w:rFonts w:hint="default" w:ascii="Times New Roman" w:hAnsi="Times New Roman" w:eastAsia="宋体" w:cs="Times New Roman"/>
                <w:bCs/>
                <w:szCs w:val="21"/>
                <w:highlight w:val="none"/>
              </w:rPr>
              <w:t>***</w:t>
            </w:r>
          </w:p>
        </w:tc>
        <w:tc>
          <w:tcPr>
            <w:tcW w:w="3504" w:type="dxa"/>
            <w:vAlign w:val="center"/>
          </w:tcPr>
          <w:p w14:paraId="2EDF5107">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Cs/>
                <w:szCs w:val="21"/>
                <w:highlight w:val="none"/>
              </w:rPr>
            </w:pPr>
          </w:p>
        </w:tc>
      </w:tr>
      <w:tr w14:paraId="574E32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1171" w:type="dxa"/>
          </w:tcPr>
          <w:p w14:paraId="69ADC537">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Cs/>
                <w:szCs w:val="21"/>
                <w:highlight w:val="none"/>
              </w:rPr>
            </w:pPr>
            <w:r>
              <w:rPr>
                <w:rFonts w:hint="default" w:ascii="Times New Roman" w:hAnsi="Times New Roman" w:eastAsia="宋体" w:cs="Times New Roman"/>
                <w:bCs/>
                <w:szCs w:val="21"/>
                <w:highlight w:val="none"/>
              </w:rPr>
              <w:t>3</w:t>
            </w:r>
          </w:p>
        </w:tc>
        <w:tc>
          <w:tcPr>
            <w:tcW w:w="3696" w:type="dxa"/>
            <w:vAlign w:val="center"/>
          </w:tcPr>
          <w:p w14:paraId="40174E93">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Cs/>
                <w:szCs w:val="21"/>
                <w:highlight w:val="none"/>
              </w:rPr>
            </w:pPr>
            <w:r>
              <w:rPr>
                <w:rFonts w:hint="default" w:ascii="Times New Roman" w:hAnsi="Times New Roman" w:eastAsia="宋体" w:cs="Times New Roman"/>
                <w:bCs/>
                <w:szCs w:val="21"/>
                <w:highlight w:val="none"/>
              </w:rPr>
              <w:t>***</w:t>
            </w:r>
          </w:p>
        </w:tc>
        <w:tc>
          <w:tcPr>
            <w:tcW w:w="3504" w:type="dxa"/>
            <w:vAlign w:val="center"/>
          </w:tcPr>
          <w:p w14:paraId="54A4EFC5">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Cs/>
                <w:szCs w:val="21"/>
                <w:highlight w:val="none"/>
              </w:rPr>
            </w:pPr>
          </w:p>
        </w:tc>
      </w:tr>
      <w:tr w14:paraId="09AB69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4867" w:type="dxa"/>
            <w:gridSpan w:val="2"/>
          </w:tcPr>
          <w:p w14:paraId="03C9E41D">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Cs/>
                <w:szCs w:val="21"/>
                <w:highlight w:val="none"/>
                <w:lang w:val="en-US" w:eastAsia="zh-CN"/>
              </w:rPr>
            </w:pPr>
            <w:r>
              <w:rPr>
                <w:rFonts w:hint="eastAsia" w:eastAsia="宋体" w:cs="Times New Roman"/>
                <w:bCs/>
                <w:szCs w:val="21"/>
                <w:highlight w:val="none"/>
                <w:lang w:val="en-US" w:eastAsia="zh-CN"/>
              </w:rPr>
              <w:t>单价合计</w:t>
            </w:r>
            <w:r>
              <w:rPr>
                <w:rFonts w:hint="default" w:ascii="Times New Roman" w:hAnsi="Times New Roman" w:eastAsia="宋体" w:cs="Times New Roman"/>
                <w:szCs w:val="21"/>
                <w:highlight w:val="none"/>
              </w:rPr>
              <w:t>(元/人/天)</w:t>
            </w:r>
          </w:p>
        </w:tc>
        <w:tc>
          <w:tcPr>
            <w:tcW w:w="3504" w:type="dxa"/>
            <w:vAlign w:val="center"/>
          </w:tcPr>
          <w:p w14:paraId="1E0F464E">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Cs/>
                <w:szCs w:val="21"/>
                <w:highlight w:val="none"/>
              </w:rPr>
            </w:pPr>
          </w:p>
        </w:tc>
      </w:tr>
    </w:tbl>
    <w:p w14:paraId="2D47C919">
      <w:pPr>
        <w:numPr>
          <w:ilvl w:val="0"/>
          <w:numId w:val="0"/>
        </w:numPr>
        <w:ind w:leftChars="0"/>
        <w:rPr>
          <w:rFonts w:hint="default"/>
        </w:rPr>
      </w:pPr>
    </w:p>
    <w:p w14:paraId="3CFE482C">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sz w:val="21"/>
          <w:szCs w:val="21"/>
          <w:highlight w:val="none"/>
        </w:rPr>
      </w:pPr>
      <w:r>
        <w:rPr>
          <w:rFonts w:hint="default" w:ascii="Times New Roman" w:hAnsi="Times New Roman" w:eastAsia="宋体" w:cs="Times New Roman"/>
          <w:b/>
          <w:sz w:val="21"/>
          <w:szCs w:val="21"/>
          <w:highlight w:val="none"/>
        </w:rPr>
        <w:t>注：1.本表可按同样格式扩展。</w:t>
      </w:r>
    </w:p>
    <w:p w14:paraId="3AF2E8A1">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sz w:val="21"/>
          <w:szCs w:val="21"/>
          <w:highlight w:val="none"/>
        </w:rPr>
      </w:pPr>
      <w:r>
        <w:rPr>
          <w:rFonts w:hint="eastAsia" w:cs="Times New Roman"/>
          <w:b/>
          <w:sz w:val="21"/>
          <w:szCs w:val="21"/>
          <w:highlight w:val="none"/>
          <w:lang w:val="en-US" w:eastAsia="zh-CN"/>
        </w:rPr>
        <w:t>2</w:t>
      </w:r>
      <w:r>
        <w:rPr>
          <w:rFonts w:hint="default" w:ascii="Times New Roman" w:hAnsi="Times New Roman" w:eastAsia="宋体" w:cs="Times New Roman"/>
          <w:b/>
          <w:sz w:val="21"/>
          <w:szCs w:val="21"/>
          <w:highlight w:val="none"/>
        </w:rPr>
        <w:t>.</w:t>
      </w:r>
      <w:r>
        <w:rPr>
          <w:rFonts w:hint="eastAsia" w:cs="Times New Roman"/>
          <w:b/>
          <w:sz w:val="21"/>
          <w:szCs w:val="21"/>
          <w:highlight w:val="none"/>
          <w:lang w:val="en-US" w:eastAsia="zh-CN"/>
        </w:rPr>
        <w:t>所有价格</w:t>
      </w:r>
      <w:r>
        <w:rPr>
          <w:rFonts w:hint="default" w:ascii="Times New Roman" w:hAnsi="Times New Roman" w:eastAsia="宋体" w:cs="Times New Roman"/>
          <w:b/>
          <w:sz w:val="21"/>
          <w:szCs w:val="21"/>
          <w:highlight w:val="none"/>
        </w:rPr>
        <w:t>为包干价，即三者均应包含价款、技术指导、培训、咨询、服务、保险、税费、和售后服务等其他各项有关费用。</w:t>
      </w:r>
    </w:p>
    <w:p w14:paraId="10E1082B">
      <w:pPr>
        <w:pStyle w:val="2"/>
        <w:rPr>
          <w:rFonts w:hint="default"/>
        </w:rPr>
      </w:pPr>
      <w:r>
        <w:rPr>
          <w:rFonts w:hint="eastAsia" w:cs="Times New Roman"/>
          <w:b/>
          <w:sz w:val="21"/>
          <w:szCs w:val="21"/>
          <w:highlight w:val="none"/>
          <w:lang w:val="en-US" w:eastAsia="zh-CN"/>
        </w:rPr>
        <w:t>3</w:t>
      </w:r>
      <w:r>
        <w:rPr>
          <w:rFonts w:hint="default" w:ascii="Times New Roman" w:hAnsi="Times New Roman" w:eastAsia="宋体" w:cs="Times New Roman"/>
          <w:b/>
          <w:sz w:val="21"/>
          <w:szCs w:val="21"/>
          <w:highlight w:val="none"/>
        </w:rPr>
        <w:t>.所有价格应按“招标文件”中规定的货币单位填写；项目报价表中单个采购预算条目报价均不得超过对应的财政预算限额，否则将导致投标无效。</w:t>
      </w:r>
    </w:p>
    <w:p w14:paraId="51EED419">
      <w:pPr>
        <w:rPr>
          <w:rFonts w:hint="default"/>
        </w:rPr>
      </w:pPr>
    </w:p>
    <w:p w14:paraId="520987D9">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bCs/>
          <w:sz w:val="24"/>
          <w:highlight w:val="none"/>
        </w:rPr>
      </w:pPr>
    </w:p>
    <w:p w14:paraId="1025ABF5">
      <w:pPr>
        <w:pageBreakBefore w:val="0"/>
        <w:numPr>
          <w:ilvl w:val="0"/>
          <w:numId w:val="0"/>
        </w:numPr>
        <w:tabs>
          <w:tab w:val="left" w:pos="720"/>
        </w:tabs>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
          <w:sz w:val="24"/>
          <w:highlight w:val="none"/>
        </w:rPr>
      </w:pPr>
      <w:bookmarkStart w:id="60" w:name="_Hlk72073235"/>
      <w:r>
        <w:rPr>
          <w:rFonts w:hint="eastAsia" w:ascii="Times New Roman" w:hAnsi="Times New Roman" w:eastAsia="宋体" w:cs="Times New Roman"/>
          <w:b/>
          <w:kern w:val="2"/>
          <w:sz w:val="24"/>
          <w:szCs w:val="24"/>
          <w:lang w:val="en-US" w:eastAsia="zh-CN" w:bidi="ar-SA"/>
        </w:rPr>
        <w:t>（</w:t>
      </w:r>
      <w:r>
        <w:rPr>
          <w:rFonts w:hint="eastAsia" w:cs="Times New Roman"/>
          <w:b/>
          <w:kern w:val="2"/>
          <w:sz w:val="24"/>
          <w:szCs w:val="24"/>
          <w:lang w:val="en-US" w:eastAsia="zh-CN" w:bidi="ar-SA"/>
        </w:rPr>
        <w:t>二</w:t>
      </w:r>
      <w:r>
        <w:rPr>
          <w:rFonts w:hint="eastAsia" w:ascii="Times New Roman" w:hAnsi="Times New Roman" w:eastAsia="宋体" w:cs="Times New Roman"/>
          <w:b/>
          <w:kern w:val="2"/>
          <w:sz w:val="24"/>
          <w:szCs w:val="24"/>
          <w:lang w:val="en-US" w:eastAsia="zh-CN" w:bidi="ar-SA"/>
        </w:rPr>
        <w:t>）</w:t>
      </w:r>
      <w:r>
        <w:rPr>
          <w:rFonts w:hint="default" w:ascii="Times New Roman" w:hAnsi="Times New Roman" w:eastAsia="宋体" w:cs="Times New Roman"/>
          <w:b/>
          <w:sz w:val="24"/>
          <w:highlight w:val="none"/>
        </w:rPr>
        <w:t>投标人认为需要涉及的其他内容报价清单</w:t>
      </w:r>
      <w:bookmarkEnd w:id="60"/>
    </w:p>
    <w:p w14:paraId="4AA4C82D">
      <w:pPr>
        <w:spacing w:before="0" w:after="0" w:line="360" w:lineRule="auto"/>
        <w:jc w:val="center"/>
        <w:outlineLvl w:val="9"/>
        <w:rPr>
          <w:rFonts w:hint="default" w:ascii="Times New Roman" w:hAnsi="Times New Roman" w:cs="Times New Roman"/>
          <w:bCs w:val="0"/>
          <w:sz w:val="24"/>
          <w:szCs w:val="24"/>
          <w:highlight w:val="none"/>
        </w:rPr>
      </w:pPr>
    </w:p>
    <w:p w14:paraId="7E9F5FCE">
      <w:pPr>
        <w:spacing w:before="0" w:after="0" w:line="360" w:lineRule="auto"/>
        <w:jc w:val="center"/>
        <w:outlineLvl w:val="9"/>
        <w:rPr>
          <w:rFonts w:hint="default" w:ascii="Times New Roman" w:hAnsi="Times New Roman" w:cs="Times New Roman"/>
          <w:bCs w:val="0"/>
          <w:sz w:val="24"/>
          <w:szCs w:val="24"/>
          <w:highlight w:val="none"/>
        </w:rPr>
      </w:pPr>
    </w:p>
    <w:p w14:paraId="20F16E3F">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bCs/>
          <w:highlight w:val="none"/>
        </w:rPr>
      </w:pPr>
    </w:p>
    <w:p w14:paraId="2F7FD957">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highlight w:val="none"/>
        </w:rPr>
      </w:pPr>
    </w:p>
    <w:p w14:paraId="1B9962B8">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highlight w:val="none"/>
        </w:rPr>
      </w:pPr>
      <w:bookmarkStart w:id="61" w:name="_Hlk72260501"/>
      <w:r>
        <w:rPr>
          <w:rFonts w:hint="default" w:ascii="Times New Roman" w:hAnsi="Times New Roman" w:eastAsia="宋体" w:cs="Times New Roman"/>
          <w:highlight w:val="none"/>
        </w:rPr>
        <w:t>………………</w:t>
      </w:r>
      <w:bookmarkEnd w:id="61"/>
      <w:r>
        <w:rPr>
          <w:rFonts w:hint="default" w:ascii="Times New Roman" w:hAnsi="Times New Roman" w:eastAsia="宋体" w:cs="Times New Roman"/>
          <w:highlight w:val="none"/>
        </w:rPr>
        <w:t>（根据项目具体情况增加与综合实力评审相关的节点）………………</w:t>
      </w:r>
    </w:p>
    <w:bookmarkEnd w:id="59"/>
    <w:p w14:paraId="65655D0A">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highlight w:val="none"/>
        </w:rPr>
      </w:pPr>
      <w:r>
        <w:rPr>
          <w:rFonts w:hint="default" w:ascii="Times New Roman" w:hAnsi="Times New Roman" w:eastAsia="宋体" w:cs="Times New Roman"/>
          <w:highlight w:val="none"/>
        </w:rPr>
        <w:br w:type="page"/>
      </w:r>
    </w:p>
    <w:p w14:paraId="0D0536C6">
      <w:pPr>
        <w:pageBreakBefore w:val="0"/>
        <w:kinsoku/>
        <w:overflowPunct/>
        <w:topLinePunct w:val="0"/>
        <w:autoSpaceDE/>
        <w:autoSpaceDN/>
        <w:bidi w:val="0"/>
        <w:spacing w:beforeAutospacing="0" w:afterAutospacing="0" w:line="360" w:lineRule="auto"/>
        <w:ind w:left="0" w:leftChars="0" w:right="0" w:firstLine="0" w:firstLineChars="0"/>
        <w:outlineLvl w:val="1"/>
        <w:rPr>
          <w:rFonts w:hint="default" w:ascii="Times New Roman" w:hAnsi="Times New Roman" w:eastAsia="宋体" w:cs="Times New Roman"/>
          <w:b/>
          <w:color w:val="FF0000"/>
          <w:sz w:val="28"/>
          <w:szCs w:val="28"/>
          <w:highlight w:val="none"/>
        </w:rPr>
      </w:pPr>
      <w:bookmarkStart w:id="62" w:name="_Hlk72260530"/>
      <w:r>
        <w:rPr>
          <w:rFonts w:hint="default" w:ascii="Times New Roman" w:hAnsi="Times New Roman" w:eastAsia="宋体" w:cs="Times New Roman"/>
          <w:b/>
          <w:color w:val="FF0000"/>
          <w:sz w:val="28"/>
          <w:szCs w:val="28"/>
          <w:highlight w:val="none"/>
        </w:rPr>
        <w:t>投标文件附件</w:t>
      </w:r>
    </w:p>
    <w:p w14:paraId="304D6EE5">
      <w:pPr>
        <w:pStyle w:val="5"/>
        <w:pageBreakBefore w:val="0"/>
        <w:kinsoku/>
        <w:overflowPunct/>
        <w:topLinePunct w:val="0"/>
        <w:autoSpaceDE/>
        <w:autoSpaceDN/>
        <w:bidi w:val="0"/>
        <w:spacing w:before="0" w:beforeAutospacing="0" w:after="0" w:afterAutospacing="0" w:line="360" w:lineRule="auto"/>
        <w:ind w:left="0" w:leftChars="0" w:right="0" w:firstLine="0" w:firstLineChars="0"/>
        <w:jc w:val="center"/>
        <w:rPr>
          <w:rFonts w:hint="default" w:ascii="Times New Roman" w:hAnsi="Times New Roman" w:eastAsia="宋体" w:cs="Times New Roman"/>
          <w:b/>
          <w:bCs w:val="0"/>
          <w:sz w:val="32"/>
          <w:szCs w:val="32"/>
          <w:highlight w:val="none"/>
          <w:lang w:val="en-US" w:eastAsia="zh-CN"/>
        </w:rPr>
      </w:pPr>
      <w:r>
        <w:rPr>
          <w:rFonts w:hint="default" w:ascii="Times New Roman" w:hAnsi="Times New Roman" w:eastAsia="宋体" w:cs="Times New Roman"/>
          <w:b/>
          <w:bCs w:val="0"/>
          <w:sz w:val="32"/>
          <w:szCs w:val="32"/>
          <w:highlight w:val="none"/>
          <w:lang w:val="en-US" w:eastAsia="zh-CN"/>
        </w:rPr>
        <w:t>一、</w:t>
      </w:r>
      <w:bookmarkStart w:id="63" w:name="_Hlk72092499"/>
      <w:r>
        <w:rPr>
          <w:rFonts w:hint="default" w:ascii="Times New Roman" w:hAnsi="Times New Roman" w:eastAsia="宋体" w:cs="Times New Roman"/>
          <w:b/>
          <w:bCs w:val="0"/>
          <w:sz w:val="32"/>
          <w:szCs w:val="32"/>
          <w:highlight w:val="none"/>
          <w:lang w:val="en-US" w:eastAsia="zh-CN"/>
        </w:rPr>
        <w:t>法定代表人（负责人）证明书</w:t>
      </w:r>
      <w:bookmarkEnd w:id="63"/>
    </w:p>
    <w:p w14:paraId="26445EA4">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 w:val="24"/>
          <w:highlight w:val="none"/>
        </w:rPr>
      </w:pPr>
    </w:p>
    <w:p w14:paraId="14F58A78">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t xml:space="preserve">   </w:t>
      </w:r>
      <w:r>
        <w:rPr>
          <w:rFonts w:hint="default" w:ascii="Times New Roman" w:hAnsi="Times New Roman" w:eastAsia="宋体" w:cs="Times New Roman"/>
          <w:szCs w:val="21"/>
          <w:highlight w:val="none"/>
          <w:u w:val="single"/>
        </w:rPr>
        <w:t xml:space="preserve">         </w:t>
      </w:r>
      <w:r>
        <w:rPr>
          <w:rFonts w:hint="default" w:ascii="Times New Roman" w:hAnsi="Times New Roman" w:eastAsia="宋体" w:cs="Times New Roman"/>
          <w:szCs w:val="21"/>
          <w:highlight w:val="none"/>
        </w:rPr>
        <w:t>同志，现任我单位</w:t>
      </w:r>
      <w:r>
        <w:rPr>
          <w:rFonts w:hint="default" w:ascii="Times New Roman" w:hAnsi="Times New Roman" w:eastAsia="宋体" w:cs="Times New Roman"/>
          <w:szCs w:val="21"/>
          <w:highlight w:val="none"/>
          <w:u w:val="single"/>
        </w:rPr>
        <w:t xml:space="preserve">         </w:t>
      </w:r>
      <w:r>
        <w:rPr>
          <w:rFonts w:hint="default" w:ascii="Times New Roman" w:hAnsi="Times New Roman" w:eastAsia="宋体" w:cs="Times New Roman"/>
          <w:szCs w:val="21"/>
          <w:highlight w:val="none"/>
        </w:rPr>
        <w:t>职务，为法定代表人（负责人），特此证明。</w:t>
      </w:r>
    </w:p>
    <w:p w14:paraId="4DF06F0E">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t xml:space="preserve">         </w:t>
      </w:r>
    </w:p>
    <w:p w14:paraId="69F23228">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t>说明：1、法定代表人为投标人（企业事业单位、国家机关、社会团体）的主要行政负责人。</w:t>
      </w:r>
    </w:p>
    <w:p w14:paraId="7C92D445">
      <w:pPr>
        <w:pageBreakBefore w:val="0"/>
        <w:numPr>
          <w:ilvl w:val="0"/>
          <w:numId w:val="11"/>
        </w:numPr>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t>内容必须填写真实、清楚，涂改无效，不得转让、买卖。</w:t>
      </w:r>
    </w:p>
    <w:p w14:paraId="43F2F038">
      <w:pPr>
        <w:pageBreakBefore w:val="0"/>
        <w:kinsoku/>
        <w:overflowPunct/>
        <w:topLinePunct w:val="0"/>
        <w:autoSpaceDE/>
        <w:autoSpaceDN/>
        <w:bidi w:val="0"/>
        <w:adjustRightInd/>
        <w:spacing w:beforeAutospacing="0" w:afterAutospacing="0" w:line="360" w:lineRule="auto"/>
        <w:ind w:left="0" w:leftChars="0" w:right="0" w:firstLine="0" w:firstLineChars="0"/>
        <w:rPr>
          <w:rFonts w:hint="default" w:ascii="Times New Roman" w:hAnsi="Times New Roman" w:eastAsia="宋体" w:cs="Times New Roman"/>
          <w:b/>
          <w:szCs w:val="21"/>
          <w:highlight w:val="none"/>
        </w:rPr>
      </w:pPr>
      <w:r>
        <w:rPr>
          <w:rFonts w:hint="default" w:ascii="Times New Roman" w:hAnsi="Times New Roman" w:eastAsia="宋体" w:cs="Times New Roman"/>
          <w:b/>
          <w:szCs w:val="21"/>
          <w:highlight w:val="none"/>
        </w:rPr>
        <w:t>附： 请提供法定代表人身份证</w:t>
      </w:r>
      <w:r>
        <w:rPr>
          <w:rFonts w:hint="default" w:ascii="Times New Roman" w:hAnsi="Times New Roman" w:cs="Times New Roman"/>
          <w:b/>
          <w:szCs w:val="21"/>
          <w:highlight w:val="none"/>
          <w:lang w:eastAsia="zh-CN"/>
        </w:rPr>
        <w:t>复印件</w:t>
      </w:r>
      <w:r>
        <w:rPr>
          <w:rFonts w:hint="default" w:ascii="Times New Roman" w:hAnsi="Times New Roman" w:eastAsia="宋体" w:cs="Times New Roman"/>
          <w:b/>
          <w:szCs w:val="21"/>
          <w:highlight w:val="none"/>
        </w:rPr>
        <w:t>（正反两面）；港澳台居民可提供来往通行证复印件；非中国国籍管辖范围人员，可提供公安部门认可的身份证明材料复印件</w:t>
      </w:r>
    </w:p>
    <w:tbl>
      <w:tblPr>
        <w:tblStyle w:val="46"/>
        <w:tblW w:w="852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64"/>
        <w:gridCol w:w="4265"/>
      </w:tblGrid>
      <w:tr w14:paraId="3A6998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33" w:hRule="atLeast"/>
        </w:trPr>
        <w:tc>
          <w:tcPr>
            <w:tcW w:w="4264" w:type="dxa"/>
            <w:vAlign w:val="top"/>
          </w:tcPr>
          <w:p w14:paraId="50732F54">
            <w:pPr>
              <w:jc w:val="center"/>
              <w:rPr>
                <w:rFonts w:hint="default" w:ascii="Times New Roman" w:hAnsi="Times New Roman" w:cs="Times New Roman"/>
                <w:lang w:val="en-US" w:eastAsia="zh-CN"/>
              </w:rPr>
            </w:pPr>
            <w:r>
              <w:rPr>
                <w:rFonts w:hint="default" w:ascii="Times New Roman" w:hAnsi="Times New Roman" w:cs="Times New Roman"/>
                <w:lang w:val="en-US" w:eastAsia="zh-CN"/>
              </w:rPr>
              <w:t>证件扫描件正面</w:t>
            </w:r>
          </w:p>
          <w:p w14:paraId="26E8E9AF">
            <w:pPr>
              <w:pStyle w:val="19"/>
              <w:jc w:val="center"/>
              <w:rPr>
                <w:rFonts w:hint="default" w:ascii="Times New Roman" w:hAnsi="Times New Roman" w:cs="Times New Roman"/>
                <w:lang w:val="en-US" w:eastAsia="zh-CN"/>
              </w:rPr>
            </w:pPr>
          </w:p>
          <w:p w14:paraId="50A79C82">
            <w:pPr>
              <w:pStyle w:val="20"/>
              <w:jc w:val="center"/>
              <w:rPr>
                <w:rFonts w:hint="default" w:ascii="Times New Roman" w:hAnsi="Times New Roman" w:cs="Times New Roman"/>
                <w:lang w:val="en-US" w:eastAsia="zh-CN"/>
              </w:rPr>
            </w:pPr>
          </w:p>
        </w:tc>
        <w:tc>
          <w:tcPr>
            <w:tcW w:w="4265" w:type="dxa"/>
            <w:vAlign w:val="top"/>
          </w:tcPr>
          <w:p w14:paraId="3F1F2B38">
            <w:pPr>
              <w:jc w:val="center"/>
              <w:rPr>
                <w:rFonts w:hint="default" w:ascii="Times New Roman" w:hAnsi="Times New Roman" w:cs="Times New Roman"/>
                <w:lang w:val="en-US" w:eastAsia="zh-CN"/>
              </w:rPr>
            </w:pPr>
            <w:r>
              <w:rPr>
                <w:rFonts w:hint="default" w:ascii="Times New Roman" w:hAnsi="Times New Roman" w:cs="Times New Roman"/>
                <w:lang w:val="en-US" w:eastAsia="zh-CN"/>
              </w:rPr>
              <w:t>证件扫描件反面</w:t>
            </w:r>
          </w:p>
          <w:p w14:paraId="62D10402">
            <w:pPr>
              <w:pStyle w:val="19"/>
              <w:jc w:val="center"/>
              <w:rPr>
                <w:rFonts w:hint="default" w:ascii="Times New Roman" w:hAnsi="Times New Roman" w:cs="Times New Roman"/>
                <w:lang w:val="en-US" w:eastAsia="zh-CN"/>
              </w:rPr>
            </w:pPr>
          </w:p>
          <w:p w14:paraId="5337C8D4">
            <w:pPr>
              <w:pStyle w:val="20"/>
              <w:jc w:val="center"/>
              <w:rPr>
                <w:rFonts w:hint="default" w:ascii="Times New Roman" w:hAnsi="Times New Roman" w:cs="Times New Roman"/>
                <w:sz w:val="24"/>
                <w:vertAlign w:val="baseline"/>
                <w:lang w:val="en-US" w:eastAsia="zh-CN"/>
              </w:rPr>
            </w:pPr>
          </w:p>
        </w:tc>
      </w:tr>
    </w:tbl>
    <w:p w14:paraId="0F218EA9">
      <w:pPr>
        <w:pStyle w:val="19"/>
        <w:ind w:firstLine="482" w:firstLineChars="200"/>
        <w:rPr>
          <w:rFonts w:hint="default" w:ascii="Times New Roman" w:hAnsi="Times New Roman" w:cs="Times New Roman"/>
          <w:color w:val="FF0000"/>
        </w:rPr>
      </w:pPr>
      <w:r>
        <w:rPr>
          <w:rFonts w:hint="default" w:ascii="Times New Roman" w:hAnsi="Times New Roman" w:cs="Times New Roman"/>
          <w:color w:val="FF0000"/>
        </w:rPr>
        <w:t>温馨提示：为避免出现《深圳经济特区政府采购条例实施细则》第七十五条第二项所列情形，请投标供应商核实你单位法定代表人、本项目投标授权代表人、项目负责人（如有）、主要技术人员（如有）等是否在你公司缴纳社会保险。</w:t>
      </w:r>
    </w:p>
    <w:p w14:paraId="1FE14EBE">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 w:val="24"/>
          <w:highlight w:val="none"/>
        </w:rPr>
      </w:pPr>
    </w:p>
    <w:p w14:paraId="6144F309">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bCs/>
          <w:sz w:val="24"/>
          <w:highlight w:val="none"/>
        </w:rPr>
      </w:pPr>
    </w:p>
    <w:p w14:paraId="105A5344">
      <w:pPr>
        <w:pStyle w:val="5"/>
        <w:pageBreakBefore w:val="0"/>
        <w:kinsoku/>
        <w:overflowPunct/>
        <w:topLinePunct w:val="0"/>
        <w:autoSpaceDE/>
        <w:autoSpaceDN/>
        <w:bidi w:val="0"/>
        <w:spacing w:before="0" w:beforeAutospacing="0" w:after="0" w:afterAutospacing="0" w:line="360" w:lineRule="auto"/>
        <w:ind w:left="0" w:leftChars="0" w:right="0" w:firstLine="0" w:firstLineChars="0"/>
        <w:jc w:val="center"/>
        <w:rPr>
          <w:rFonts w:hint="default" w:ascii="Times New Roman" w:hAnsi="Times New Roman" w:eastAsia="宋体" w:cs="Times New Roman"/>
          <w:b/>
          <w:bCs w:val="0"/>
          <w:sz w:val="32"/>
          <w:szCs w:val="32"/>
          <w:highlight w:val="none"/>
          <w:lang w:val="en-US" w:eastAsia="zh-CN"/>
        </w:rPr>
      </w:pPr>
      <w:r>
        <w:rPr>
          <w:rFonts w:hint="default" w:ascii="Times New Roman" w:hAnsi="Times New Roman" w:eastAsia="宋体" w:cs="Times New Roman"/>
          <w:b/>
          <w:bCs w:val="0"/>
          <w:sz w:val="32"/>
          <w:szCs w:val="32"/>
          <w:highlight w:val="none"/>
          <w:lang w:val="en-US" w:eastAsia="zh-CN"/>
        </w:rPr>
        <w:t>二、投标文件签署授权委托书</w:t>
      </w:r>
    </w:p>
    <w:p w14:paraId="4EFCE3F0">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t>本授权委托书声明：我</w:t>
      </w:r>
      <w:r>
        <w:rPr>
          <w:rFonts w:hint="default" w:ascii="Times New Roman" w:hAnsi="Times New Roman" w:eastAsia="宋体" w:cs="Times New Roman"/>
          <w:szCs w:val="21"/>
          <w:highlight w:val="none"/>
          <w:u w:val="single"/>
        </w:rPr>
        <w:t xml:space="preserve">           </w:t>
      </w:r>
      <w:r>
        <w:rPr>
          <w:rFonts w:hint="default" w:ascii="Times New Roman" w:hAnsi="Times New Roman" w:eastAsia="宋体" w:cs="Times New Roman"/>
          <w:szCs w:val="21"/>
          <w:highlight w:val="none"/>
        </w:rPr>
        <w:t>（姓名）系</w:t>
      </w:r>
      <w:r>
        <w:rPr>
          <w:rFonts w:hint="default" w:ascii="Times New Roman" w:hAnsi="Times New Roman" w:eastAsia="宋体" w:cs="Times New Roman"/>
          <w:szCs w:val="21"/>
          <w:highlight w:val="none"/>
          <w:u w:val="single"/>
        </w:rPr>
        <w:t xml:space="preserve">             </w:t>
      </w:r>
      <w:r>
        <w:rPr>
          <w:rFonts w:hint="default" w:ascii="Times New Roman" w:hAnsi="Times New Roman" w:eastAsia="宋体" w:cs="Times New Roman"/>
          <w:szCs w:val="21"/>
          <w:highlight w:val="none"/>
        </w:rPr>
        <w:t>（投标人名称）的法定代表人（负责人），现授权委托</w:t>
      </w:r>
      <w:r>
        <w:rPr>
          <w:rFonts w:hint="default" w:ascii="Times New Roman" w:hAnsi="Times New Roman" w:eastAsia="宋体" w:cs="Times New Roman"/>
          <w:szCs w:val="21"/>
          <w:highlight w:val="none"/>
          <w:u w:val="single"/>
        </w:rPr>
        <w:t xml:space="preserve">            </w:t>
      </w:r>
      <w:r>
        <w:rPr>
          <w:rFonts w:hint="default" w:ascii="Times New Roman" w:hAnsi="Times New Roman" w:eastAsia="宋体" w:cs="Times New Roman"/>
          <w:szCs w:val="21"/>
          <w:highlight w:val="none"/>
        </w:rPr>
        <w:t>（姓名）为我单位签署本项目已递交的投标文件的法定代表人（负责人）的授权委托代理人，代理人全权代表我所签署的本项目已递交的投标文件内容我均承认。</w:t>
      </w:r>
    </w:p>
    <w:p w14:paraId="0B6B4CAC">
      <w:pPr>
        <w:pStyle w:val="8"/>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t>代理人无转委托权，特此委托。</w:t>
      </w:r>
    </w:p>
    <w:p w14:paraId="2D7B929B">
      <w:pPr>
        <w:pStyle w:val="8"/>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Cs w:val="21"/>
          <w:highlight w:val="none"/>
        </w:rPr>
      </w:pPr>
    </w:p>
    <w:p w14:paraId="17CD6612">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Cs w:val="21"/>
          <w:highlight w:val="none"/>
          <w:u w:val="single"/>
        </w:rPr>
      </w:pPr>
      <w:r>
        <w:rPr>
          <w:rFonts w:hint="default" w:ascii="Times New Roman" w:hAnsi="Times New Roman" w:eastAsia="宋体" w:cs="Times New Roman"/>
          <w:szCs w:val="21"/>
          <w:highlight w:val="none"/>
        </w:rPr>
        <w:t>代理人：</w:t>
      </w:r>
      <w:r>
        <w:rPr>
          <w:rFonts w:hint="default" w:ascii="Times New Roman" w:hAnsi="Times New Roman" w:eastAsia="宋体" w:cs="Times New Roman"/>
          <w:szCs w:val="21"/>
          <w:highlight w:val="none"/>
          <w:u w:val="single"/>
        </w:rPr>
        <w:t xml:space="preserve">             </w:t>
      </w:r>
    </w:p>
    <w:p w14:paraId="0642A04F">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t>联系电话：</w:t>
      </w:r>
      <w:r>
        <w:rPr>
          <w:rFonts w:hint="default" w:ascii="Times New Roman" w:hAnsi="Times New Roman" w:eastAsia="宋体" w:cs="Times New Roman"/>
          <w:szCs w:val="21"/>
          <w:highlight w:val="none"/>
          <w:u w:val="single"/>
        </w:rPr>
        <w:t xml:space="preserve">            </w:t>
      </w:r>
      <w:r>
        <w:rPr>
          <w:rFonts w:hint="default" w:ascii="Times New Roman" w:hAnsi="Times New Roman" w:eastAsia="宋体" w:cs="Times New Roman"/>
          <w:szCs w:val="21"/>
          <w:highlight w:val="none"/>
        </w:rPr>
        <w:t xml:space="preserve">  手机：</w:t>
      </w:r>
      <w:r>
        <w:rPr>
          <w:rFonts w:hint="default" w:ascii="Times New Roman" w:hAnsi="Times New Roman" w:eastAsia="宋体" w:cs="Times New Roman"/>
          <w:szCs w:val="21"/>
          <w:highlight w:val="none"/>
          <w:u w:val="single"/>
        </w:rPr>
        <w:t xml:space="preserve">                   </w:t>
      </w:r>
    </w:p>
    <w:p w14:paraId="01EBD60A">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Cs w:val="21"/>
          <w:highlight w:val="none"/>
          <w:u w:val="single"/>
        </w:rPr>
      </w:pPr>
      <w:r>
        <w:rPr>
          <w:rFonts w:hint="default" w:ascii="Times New Roman" w:hAnsi="Times New Roman" w:eastAsia="宋体" w:cs="Times New Roman"/>
          <w:szCs w:val="21"/>
          <w:highlight w:val="none"/>
        </w:rPr>
        <w:t>身份证号码：</w:t>
      </w:r>
      <w:r>
        <w:rPr>
          <w:rFonts w:hint="default" w:ascii="Times New Roman" w:hAnsi="Times New Roman" w:eastAsia="宋体" w:cs="Times New Roman"/>
          <w:szCs w:val="21"/>
          <w:highlight w:val="none"/>
          <w:u w:val="single"/>
        </w:rPr>
        <w:t xml:space="preserve">                        </w:t>
      </w:r>
      <w:r>
        <w:rPr>
          <w:rFonts w:hint="default" w:ascii="Times New Roman" w:hAnsi="Times New Roman" w:eastAsia="宋体" w:cs="Times New Roman"/>
          <w:szCs w:val="21"/>
          <w:highlight w:val="none"/>
        </w:rPr>
        <w:t>职务：</w:t>
      </w:r>
      <w:r>
        <w:rPr>
          <w:rFonts w:hint="default" w:ascii="Times New Roman" w:hAnsi="Times New Roman" w:eastAsia="宋体" w:cs="Times New Roman"/>
          <w:szCs w:val="21"/>
          <w:highlight w:val="none"/>
          <w:u w:val="single"/>
        </w:rPr>
        <w:t xml:space="preserve">       </w:t>
      </w:r>
    </w:p>
    <w:p w14:paraId="254345CA">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t>授权委托日期：</w:t>
      </w:r>
      <w:r>
        <w:rPr>
          <w:rFonts w:hint="default" w:ascii="Times New Roman" w:hAnsi="Times New Roman" w:eastAsia="宋体" w:cs="Times New Roman"/>
          <w:szCs w:val="21"/>
          <w:highlight w:val="none"/>
          <w:u w:val="single"/>
        </w:rPr>
        <w:t xml:space="preserve">         </w:t>
      </w:r>
      <w:r>
        <w:rPr>
          <w:rFonts w:hint="default" w:ascii="Times New Roman" w:hAnsi="Times New Roman" w:eastAsia="宋体" w:cs="Times New Roman"/>
          <w:szCs w:val="21"/>
          <w:highlight w:val="none"/>
        </w:rPr>
        <w:t>年</w:t>
      </w:r>
      <w:r>
        <w:rPr>
          <w:rFonts w:hint="default" w:ascii="Times New Roman" w:hAnsi="Times New Roman" w:eastAsia="宋体" w:cs="Times New Roman"/>
          <w:szCs w:val="21"/>
          <w:highlight w:val="none"/>
          <w:u w:val="single"/>
        </w:rPr>
        <w:t xml:space="preserve">     </w:t>
      </w:r>
      <w:r>
        <w:rPr>
          <w:rFonts w:hint="default" w:ascii="Times New Roman" w:hAnsi="Times New Roman" w:eastAsia="宋体" w:cs="Times New Roman"/>
          <w:szCs w:val="21"/>
          <w:highlight w:val="none"/>
        </w:rPr>
        <w:t xml:space="preserve">月 </w:t>
      </w:r>
      <w:r>
        <w:rPr>
          <w:rFonts w:hint="default" w:ascii="Times New Roman" w:hAnsi="Times New Roman" w:eastAsia="宋体" w:cs="Times New Roman"/>
          <w:szCs w:val="21"/>
          <w:highlight w:val="none"/>
          <w:u w:val="single"/>
        </w:rPr>
        <w:t xml:space="preserve">      </w:t>
      </w:r>
      <w:r>
        <w:rPr>
          <w:rFonts w:hint="default" w:ascii="Times New Roman" w:hAnsi="Times New Roman" w:eastAsia="宋体" w:cs="Times New Roman"/>
          <w:szCs w:val="21"/>
          <w:highlight w:val="none"/>
        </w:rPr>
        <w:t>日</w:t>
      </w:r>
    </w:p>
    <w:p w14:paraId="6E4527DD">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highlight w:val="none"/>
        </w:rPr>
      </w:pPr>
    </w:p>
    <w:p w14:paraId="0842AA2A">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color w:val="FF0000"/>
          <w:szCs w:val="21"/>
          <w:highlight w:val="none"/>
        </w:rPr>
      </w:pPr>
      <w:r>
        <w:rPr>
          <w:rFonts w:hint="default" w:ascii="Times New Roman" w:hAnsi="Times New Roman" w:eastAsia="宋体" w:cs="Times New Roman"/>
          <w:b/>
          <w:color w:val="FF0000"/>
          <w:szCs w:val="21"/>
          <w:highlight w:val="none"/>
        </w:rPr>
        <w:t>附： 请提供代理人身份证</w:t>
      </w:r>
      <w:r>
        <w:rPr>
          <w:rFonts w:hint="default" w:ascii="Times New Roman" w:hAnsi="Times New Roman" w:cs="Times New Roman"/>
          <w:b/>
          <w:color w:val="FF0000"/>
          <w:szCs w:val="21"/>
          <w:highlight w:val="none"/>
          <w:lang w:eastAsia="zh-CN"/>
        </w:rPr>
        <w:t>复印件</w:t>
      </w:r>
      <w:r>
        <w:rPr>
          <w:rFonts w:hint="default" w:ascii="Times New Roman" w:hAnsi="Times New Roman" w:eastAsia="宋体" w:cs="Times New Roman"/>
          <w:b/>
          <w:color w:val="FF0000"/>
          <w:szCs w:val="21"/>
          <w:highlight w:val="none"/>
        </w:rPr>
        <w:t>（正反两面）；港澳台居民可提供来往通行证</w:t>
      </w:r>
      <w:r>
        <w:rPr>
          <w:rFonts w:hint="default" w:ascii="Times New Roman" w:hAnsi="Times New Roman" w:cs="Times New Roman"/>
          <w:b/>
          <w:color w:val="FF0000"/>
          <w:szCs w:val="21"/>
          <w:highlight w:val="none"/>
          <w:lang w:eastAsia="zh-CN"/>
        </w:rPr>
        <w:t>复印件</w:t>
      </w:r>
      <w:r>
        <w:rPr>
          <w:rFonts w:hint="default" w:ascii="Times New Roman" w:hAnsi="Times New Roman" w:eastAsia="宋体" w:cs="Times New Roman"/>
          <w:b/>
          <w:color w:val="FF0000"/>
          <w:szCs w:val="21"/>
          <w:highlight w:val="none"/>
        </w:rPr>
        <w:t>；非中国国籍管辖范围人员，可提供公安部门认可的身份证明材料</w:t>
      </w:r>
      <w:r>
        <w:rPr>
          <w:rFonts w:hint="default" w:ascii="Times New Roman" w:hAnsi="Times New Roman" w:cs="Times New Roman"/>
          <w:b/>
          <w:color w:val="FF0000"/>
          <w:szCs w:val="21"/>
          <w:highlight w:val="none"/>
          <w:lang w:eastAsia="zh-CN"/>
        </w:rPr>
        <w:t>复印件</w:t>
      </w:r>
      <w:r>
        <w:rPr>
          <w:rFonts w:hint="default" w:ascii="Times New Roman" w:hAnsi="Times New Roman" w:eastAsia="宋体" w:cs="Times New Roman"/>
          <w:b/>
          <w:color w:val="FF0000"/>
          <w:szCs w:val="21"/>
          <w:highlight w:val="none"/>
        </w:rPr>
        <w:t>。</w:t>
      </w:r>
    </w:p>
    <w:p w14:paraId="4374A147">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szCs w:val="21"/>
          <w:highlight w:val="none"/>
        </w:rPr>
      </w:pPr>
    </w:p>
    <w:tbl>
      <w:tblPr>
        <w:tblStyle w:val="46"/>
        <w:tblW w:w="852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64"/>
        <w:gridCol w:w="4265"/>
      </w:tblGrid>
      <w:tr w14:paraId="6CD1CB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33" w:hRule="atLeast"/>
        </w:trPr>
        <w:tc>
          <w:tcPr>
            <w:tcW w:w="4264" w:type="dxa"/>
            <w:vAlign w:val="top"/>
          </w:tcPr>
          <w:p w14:paraId="6E4CC759">
            <w:pPr>
              <w:jc w:val="center"/>
              <w:rPr>
                <w:rFonts w:hint="default" w:ascii="Times New Roman" w:hAnsi="Times New Roman" w:cs="Times New Roman"/>
                <w:lang w:val="en-US" w:eastAsia="zh-CN"/>
              </w:rPr>
            </w:pPr>
            <w:r>
              <w:rPr>
                <w:rFonts w:hint="default" w:ascii="Times New Roman" w:hAnsi="Times New Roman" w:cs="Times New Roman"/>
                <w:lang w:val="en-US" w:eastAsia="zh-CN"/>
              </w:rPr>
              <w:t>证件扫描件正面</w:t>
            </w:r>
          </w:p>
          <w:p w14:paraId="7DEDE0CF">
            <w:pPr>
              <w:pStyle w:val="19"/>
              <w:jc w:val="center"/>
              <w:rPr>
                <w:rFonts w:hint="default" w:ascii="Times New Roman" w:hAnsi="Times New Roman" w:cs="Times New Roman"/>
                <w:lang w:val="en-US" w:eastAsia="zh-CN"/>
              </w:rPr>
            </w:pPr>
          </w:p>
          <w:p w14:paraId="5B2A1CD9">
            <w:pPr>
              <w:pStyle w:val="20"/>
              <w:jc w:val="center"/>
              <w:rPr>
                <w:rFonts w:hint="default" w:ascii="Times New Roman" w:hAnsi="Times New Roman" w:cs="Times New Roman"/>
                <w:lang w:val="en-US" w:eastAsia="zh-CN"/>
              </w:rPr>
            </w:pPr>
          </w:p>
        </w:tc>
        <w:tc>
          <w:tcPr>
            <w:tcW w:w="4265" w:type="dxa"/>
            <w:vAlign w:val="top"/>
          </w:tcPr>
          <w:p w14:paraId="7B8FE94A">
            <w:pPr>
              <w:jc w:val="center"/>
              <w:rPr>
                <w:rFonts w:hint="default" w:ascii="Times New Roman" w:hAnsi="Times New Roman" w:cs="Times New Roman"/>
                <w:lang w:val="en-US" w:eastAsia="zh-CN"/>
              </w:rPr>
            </w:pPr>
            <w:r>
              <w:rPr>
                <w:rFonts w:hint="default" w:ascii="Times New Roman" w:hAnsi="Times New Roman" w:cs="Times New Roman"/>
                <w:lang w:val="en-US" w:eastAsia="zh-CN"/>
              </w:rPr>
              <w:t>证件扫描件反面</w:t>
            </w:r>
          </w:p>
          <w:p w14:paraId="5588F842">
            <w:pPr>
              <w:pStyle w:val="19"/>
              <w:jc w:val="center"/>
              <w:rPr>
                <w:rFonts w:hint="default" w:ascii="Times New Roman" w:hAnsi="Times New Roman" w:cs="Times New Roman"/>
                <w:lang w:val="en-US" w:eastAsia="zh-CN"/>
              </w:rPr>
            </w:pPr>
          </w:p>
          <w:p w14:paraId="4810643F">
            <w:pPr>
              <w:pStyle w:val="20"/>
              <w:jc w:val="center"/>
              <w:rPr>
                <w:rFonts w:hint="default" w:ascii="Times New Roman" w:hAnsi="Times New Roman" w:cs="Times New Roman"/>
                <w:sz w:val="24"/>
                <w:vertAlign w:val="baseline"/>
                <w:lang w:val="en-US" w:eastAsia="zh-CN"/>
              </w:rPr>
            </w:pPr>
          </w:p>
        </w:tc>
      </w:tr>
    </w:tbl>
    <w:p w14:paraId="5196D667">
      <w:pPr>
        <w:pStyle w:val="19"/>
        <w:ind w:firstLine="482" w:firstLineChars="200"/>
        <w:rPr>
          <w:rFonts w:hint="default" w:ascii="Times New Roman" w:hAnsi="Times New Roman" w:cs="Times New Roman"/>
          <w:color w:val="FF0000"/>
        </w:rPr>
      </w:pPr>
      <w:r>
        <w:rPr>
          <w:rFonts w:hint="default" w:ascii="Times New Roman" w:hAnsi="Times New Roman" w:cs="Times New Roman"/>
          <w:color w:val="FF0000"/>
        </w:rPr>
        <w:t>温馨提示：为避免出现《深圳经济特区政府采购条例实施细则》第七十五条第二项所列情形，请投标供应商核实你单位法定代表人、本项目投标授权代表人、项目负责人（如有）、主要技术人员（如有）等是否在你公司缴纳社会保险。</w:t>
      </w:r>
    </w:p>
    <w:p w14:paraId="7ECAE053">
      <w:pPr>
        <w:pStyle w:val="5"/>
        <w:pageBreakBefore w:val="0"/>
        <w:kinsoku/>
        <w:overflowPunct/>
        <w:topLinePunct w:val="0"/>
        <w:autoSpaceDE/>
        <w:autoSpaceDN/>
        <w:bidi w:val="0"/>
        <w:spacing w:before="0" w:beforeAutospacing="0" w:after="0" w:afterAutospacing="0" w:line="360" w:lineRule="auto"/>
        <w:ind w:left="0" w:leftChars="0" w:right="0" w:firstLine="0" w:firstLineChars="0"/>
        <w:jc w:val="center"/>
        <w:rPr>
          <w:rFonts w:hint="default" w:ascii="Times New Roman" w:hAnsi="Times New Roman" w:eastAsia="宋体" w:cs="Times New Roman"/>
          <w:b/>
          <w:bCs w:val="0"/>
          <w:sz w:val="32"/>
          <w:szCs w:val="32"/>
          <w:highlight w:val="none"/>
          <w:lang w:val="en-US" w:eastAsia="zh-CN"/>
        </w:rPr>
      </w:pPr>
      <w:r>
        <w:rPr>
          <w:rFonts w:hint="default" w:ascii="Times New Roman" w:hAnsi="Times New Roman" w:eastAsia="宋体" w:cs="Times New Roman"/>
          <w:b/>
          <w:bCs w:val="0"/>
          <w:sz w:val="32"/>
          <w:szCs w:val="32"/>
          <w:highlight w:val="none"/>
          <w:lang w:val="en-US" w:eastAsia="zh-CN"/>
        </w:rPr>
        <w:t>三、供应商基本情况表要求</w:t>
      </w:r>
    </w:p>
    <w:p w14:paraId="21F1B03F">
      <w:pPr>
        <w:autoSpaceDE w:val="0"/>
        <w:autoSpaceDN w:val="0"/>
        <w:adjustRightInd w:val="0"/>
        <w:snapToGrid w:val="0"/>
        <w:spacing w:line="360" w:lineRule="auto"/>
        <w:jc w:val="center"/>
        <w:rPr>
          <w:rFonts w:hint="default" w:ascii="Times New Roman" w:hAnsi="Times New Roman" w:eastAsia="宋体" w:cs="Times New Roman"/>
          <w:b/>
          <w:bCs w:val="0"/>
          <w:sz w:val="28"/>
          <w:szCs w:val="28"/>
          <w:highlight w:val="none"/>
          <w:lang w:val="en-US" w:eastAsia="zh-CN"/>
        </w:rPr>
      </w:pPr>
      <w:r>
        <w:rPr>
          <w:rStyle w:val="53"/>
          <w:rFonts w:hint="default" w:ascii="Times New Roman" w:hAnsi="Times New Roman" w:eastAsia="宋体" w:cs="Times New Roman"/>
          <w:b w:val="0"/>
          <w:bCs w:val="0"/>
          <w:sz w:val="21"/>
          <w:szCs w:val="21"/>
        </w:rPr>
        <w:br w:type="textWrapping"/>
      </w:r>
      <w:r>
        <w:rPr>
          <w:rFonts w:hint="default" w:ascii="Times New Roman" w:hAnsi="Times New Roman" w:eastAsia="宋体" w:cs="Times New Roman"/>
          <w:b/>
          <w:bCs w:val="0"/>
          <w:sz w:val="28"/>
          <w:szCs w:val="28"/>
          <w:highlight w:val="none"/>
          <w:lang w:val="en-US" w:eastAsia="zh-CN"/>
        </w:rPr>
        <w:t>供应商基本情况表</w:t>
      </w:r>
    </w:p>
    <w:tbl>
      <w:tblPr>
        <w:tblStyle w:val="46"/>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87"/>
        <w:gridCol w:w="644"/>
        <w:gridCol w:w="1235"/>
        <w:gridCol w:w="1196"/>
        <w:gridCol w:w="751"/>
        <w:gridCol w:w="1145"/>
        <w:gridCol w:w="1428"/>
        <w:gridCol w:w="1434"/>
      </w:tblGrid>
      <w:tr w14:paraId="6A3565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909" w:hRule="atLeast"/>
          <w:jc w:val="center"/>
        </w:trPr>
        <w:tc>
          <w:tcPr>
            <w:tcW w:w="781" w:type="pct"/>
            <w:gridSpan w:val="2"/>
            <w:noWrap w:val="0"/>
            <w:vAlign w:val="center"/>
          </w:tcPr>
          <w:p w14:paraId="29D3EFF0">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投标（响应）供应商</w:t>
            </w:r>
          </w:p>
        </w:tc>
        <w:tc>
          <w:tcPr>
            <w:tcW w:w="1427" w:type="pct"/>
            <w:gridSpan w:val="2"/>
            <w:noWrap w:val="0"/>
            <w:vAlign w:val="center"/>
          </w:tcPr>
          <w:p w14:paraId="0F4D9F1D">
            <w:pPr>
              <w:jc w:val="center"/>
              <w:rPr>
                <w:rFonts w:hint="default" w:ascii="Times New Roman" w:hAnsi="Times New Roman" w:eastAsia="宋体" w:cs="Times New Roman"/>
                <w:color w:val="auto"/>
                <w:sz w:val="21"/>
                <w:szCs w:val="21"/>
                <w:vertAlign w:val="baseline"/>
                <w:lang w:val="en-US" w:eastAsia="zh-CN"/>
              </w:rPr>
            </w:pPr>
          </w:p>
        </w:tc>
        <w:tc>
          <w:tcPr>
            <w:tcW w:w="1113" w:type="pct"/>
            <w:gridSpan w:val="2"/>
            <w:noWrap w:val="0"/>
            <w:vAlign w:val="center"/>
          </w:tcPr>
          <w:p w14:paraId="48354A6B">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项目名称及编号</w:t>
            </w:r>
          </w:p>
        </w:tc>
        <w:tc>
          <w:tcPr>
            <w:tcW w:w="1678" w:type="pct"/>
            <w:gridSpan w:val="2"/>
            <w:noWrap w:val="0"/>
            <w:vAlign w:val="center"/>
          </w:tcPr>
          <w:p w14:paraId="5A9318BB">
            <w:pPr>
              <w:jc w:val="center"/>
              <w:rPr>
                <w:rFonts w:hint="default" w:ascii="Times New Roman" w:hAnsi="Times New Roman" w:eastAsia="宋体" w:cs="Times New Roman"/>
                <w:color w:val="auto"/>
                <w:sz w:val="21"/>
                <w:szCs w:val="21"/>
                <w:vertAlign w:val="baseline"/>
                <w:lang w:val="en-US" w:eastAsia="zh-CN"/>
              </w:rPr>
            </w:pPr>
          </w:p>
        </w:tc>
      </w:tr>
      <w:tr w14:paraId="225401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5000" w:type="pct"/>
            <w:gridSpan w:val="8"/>
            <w:noWrap w:val="0"/>
            <w:vAlign w:val="center"/>
          </w:tcPr>
          <w:p w14:paraId="134CBD0B">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b/>
                <w:bCs/>
                <w:color w:val="auto"/>
                <w:sz w:val="21"/>
                <w:szCs w:val="21"/>
                <w:vertAlign w:val="baseline"/>
                <w:lang w:val="en-US" w:eastAsia="zh-CN"/>
              </w:rPr>
              <w:t>投标（响应）供应商相关人员情况</w:t>
            </w:r>
          </w:p>
        </w:tc>
      </w:tr>
      <w:tr w14:paraId="16727D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3" w:type="pct"/>
            <w:tcBorders>
              <w:bottom w:val="single" w:color="auto" w:sz="4" w:space="0"/>
            </w:tcBorders>
            <w:noWrap w:val="0"/>
            <w:vAlign w:val="center"/>
          </w:tcPr>
          <w:p w14:paraId="3C606C04">
            <w:pPr>
              <w:snapToGrid w:val="0"/>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序号</w:t>
            </w:r>
          </w:p>
        </w:tc>
        <w:tc>
          <w:tcPr>
            <w:tcW w:w="1103" w:type="pct"/>
            <w:gridSpan w:val="2"/>
            <w:tcBorders>
              <w:bottom w:val="single" w:color="auto" w:sz="4" w:space="0"/>
            </w:tcBorders>
            <w:noWrap w:val="0"/>
            <w:vAlign w:val="center"/>
          </w:tcPr>
          <w:p w14:paraId="0988B88C">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职务</w:t>
            </w:r>
          </w:p>
        </w:tc>
        <w:tc>
          <w:tcPr>
            <w:tcW w:w="702" w:type="pct"/>
            <w:tcBorders>
              <w:bottom w:val="single" w:color="auto" w:sz="4" w:space="0"/>
            </w:tcBorders>
            <w:noWrap w:val="0"/>
            <w:vAlign w:val="center"/>
          </w:tcPr>
          <w:p w14:paraId="1B3905D6">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姓名</w:t>
            </w:r>
          </w:p>
        </w:tc>
        <w:tc>
          <w:tcPr>
            <w:tcW w:w="1113" w:type="pct"/>
            <w:gridSpan w:val="2"/>
            <w:tcBorders>
              <w:bottom w:val="single" w:color="auto" w:sz="4" w:space="0"/>
            </w:tcBorders>
            <w:noWrap w:val="0"/>
            <w:vAlign w:val="center"/>
          </w:tcPr>
          <w:p w14:paraId="42FE7B3A">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身份证号码</w:t>
            </w:r>
          </w:p>
        </w:tc>
        <w:tc>
          <w:tcPr>
            <w:tcW w:w="838" w:type="pct"/>
            <w:tcBorders>
              <w:bottom w:val="single" w:color="auto" w:sz="4" w:space="0"/>
            </w:tcBorders>
            <w:noWrap w:val="0"/>
            <w:vAlign w:val="center"/>
          </w:tcPr>
          <w:p w14:paraId="392AEC98">
            <w:pPr>
              <w:snapToGrid w:val="0"/>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劳动合同</w:t>
            </w:r>
          </w:p>
          <w:p w14:paraId="5F93936E">
            <w:pPr>
              <w:snapToGrid w:val="0"/>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关系单位</w:t>
            </w:r>
          </w:p>
        </w:tc>
        <w:tc>
          <w:tcPr>
            <w:tcW w:w="839" w:type="pct"/>
            <w:tcBorders>
              <w:bottom w:val="single" w:color="auto" w:sz="4" w:space="0"/>
            </w:tcBorders>
            <w:noWrap w:val="0"/>
            <w:vAlign w:val="center"/>
          </w:tcPr>
          <w:p w14:paraId="348AB40D">
            <w:pPr>
              <w:snapToGrid w:val="0"/>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缴纳社会</w:t>
            </w:r>
          </w:p>
          <w:p w14:paraId="79395650">
            <w:pPr>
              <w:snapToGrid w:val="0"/>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保险单位</w:t>
            </w:r>
          </w:p>
        </w:tc>
      </w:tr>
      <w:tr w14:paraId="14BB4C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3" w:type="pct"/>
            <w:tcBorders>
              <w:top w:val="single" w:color="auto" w:sz="4" w:space="0"/>
              <w:left w:val="single" w:color="auto" w:sz="4" w:space="0"/>
              <w:bottom w:val="single" w:color="auto" w:sz="4" w:space="0"/>
              <w:right w:val="single" w:color="auto" w:sz="4" w:space="0"/>
            </w:tcBorders>
            <w:noWrap w:val="0"/>
            <w:vAlign w:val="center"/>
          </w:tcPr>
          <w:p w14:paraId="23700DD8">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1</w:t>
            </w:r>
          </w:p>
        </w:tc>
        <w:tc>
          <w:tcPr>
            <w:tcW w:w="1103" w:type="pct"/>
            <w:gridSpan w:val="2"/>
            <w:tcBorders>
              <w:top w:val="single" w:color="auto" w:sz="4" w:space="0"/>
              <w:left w:val="single" w:color="auto" w:sz="4" w:space="0"/>
              <w:bottom w:val="single" w:color="auto" w:sz="4" w:space="0"/>
              <w:right w:val="single" w:color="auto" w:sz="4" w:space="0"/>
            </w:tcBorders>
            <w:noWrap w:val="0"/>
            <w:vAlign w:val="center"/>
          </w:tcPr>
          <w:p w14:paraId="723334CE">
            <w:pPr>
              <w:spacing w:line="460" w:lineRule="exact"/>
              <w:jc w:val="center"/>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rPr>
              <w:t>法定代表人</w:t>
            </w:r>
            <w:r>
              <w:rPr>
                <w:rFonts w:hint="default" w:ascii="Times New Roman" w:hAnsi="Times New Roman" w:eastAsia="宋体" w:cs="Times New Roman"/>
                <w:color w:val="auto"/>
                <w:sz w:val="21"/>
                <w:szCs w:val="21"/>
                <w:highlight w:val="none"/>
                <w:lang w:val="en-US" w:eastAsia="zh-CN"/>
              </w:rPr>
              <w:t>/单位负责人/主要经营负责人</w:t>
            </w:r>
            <w:r>
              <w:rPr>
                <w:rFonts w:hint="default" w:ascii="Times New Roman" w:hAnsi="Times New Roman" w:cs="Times New Roman"/>
                <w:color w:val="0000FF"/>
                <w:sz w:val="21"/>
                <w:szCs w:val="21"/>
                <w:highlight w:val="none"/>
                <w:lang w:val="en-US" w:eastAsia="zh-CN"/>
              </w:rPr>
              <w:t>（必填项，不可删除或漏填）</w:t>
            </w:r>
          </w:p>
        </w:tc>
        <w:tc>
          <w:tcPr>
            <w:tcW w:w="702" w:type="pct"/>
            <w:tcBorders>
              <w:top w:val="single" w:color="auto" w:sz="4" w:space="0"/>
              <w:left w:val="single" w:color="auto" w:sz="4" w:space="0"/>
              <w:bottom w:val="single" w:color="auto" w:sz="4" w:space="0"/>
              <w:right w:val="single" w:color="auto" w:sz="4" w:space="0"/>
            </w:tcBorders>
            <w:noWrap w:val="0"/>
            <w:vAlign w:val="center"/>
          </w:tcPr>
          <w:p w14:paraId="5131865C">
            <w:pPr>
              <w:jc w:val="center"/>
              <w:rPr>
                <w:rFonts w:hint="default" w:ascii="Times New Roman" w:hAnsi="Times New Roman" w:eastAsia="宋体" w:cs="Times New Roman"/>
                <w:color w:val="auto"/>
                <w:sz w:val="21"/>
                <w:szCs w:val="21"/>
                <w:vertAlign w:val="baseline"/>
                <w:lang w:val="en-US" w:eastAsia="zh-CN"/>
              </w:rPr>
            </w:pPr>
          </w:p>
        </w:tc>
        <w:tc>
          <w:tcPr>
            <w:tcW w:w="1113" w:type="pct"/>
            <w:gridSpan w:val="2"/>
            <w:tcBorders>
              <w:top w:val="single" w:color="auto" w:sz="4" w:space="0"/>
              <w:left w:val="single" w:color="auto" w:sz="4" w:space="0"/>
              <w:bottom w:val="single" w:color="auto" w:sz="4" w:space="0"/>
              <w:right w:val="single" w:color="auto" w:sz="4" w:space="0"/>
            </w:tcBorders>
            <w:noWrap w:val="0"/>
            <w:vAlign w:val="center"/>
          </w:tcPr>
          <w:p w14:paraId="57AAE301">
            <w:pPr>
              <w:jc w:val="center"/>
              <w:rPr>
                <w:rFonts w:hint="default" w:ascii="Times New Roman" w:hAnsi="Times New Roman" w:eastAsia="宋体" w:cs="Times New Roman"/>
                <w:color w:val="auto"/>
                <w:sz w:val="21"/>
                <w:szCs w:val="21"/>
                <w:vertAlign w:val="baseline"/>
                <w:lang w:val="en-US" w:eastAsia="zh-CN"/>
              </w:rPr>
            </w:pPr>
          </w:p>
        </w:tc>
        <w:tc>
          <w:tcPr>
            <w:tcW w:w="838" w:type="pct"/>
            <w:tcBorders>
              <w:top w:val="single" w:color="auto" w:sz="4" w:space="0"/>
              <w:left w:val="single" w:color="auto" w:sz="4" w:space="0"/>
              <w:bottom w:val="single" w:color="auto" w:sz="4" w:space="0"/>
              <w:right w:val="single" w:color="auto" w:sz="4" w:space="0"/>
            </w:tcBorders>
            <w:noWrap w:val="0"/>
            <w:vAlign w:val="center"/>
          </w:tcPr>
          <w:p w14:paraId="3EC2BCF2">
            <w:pPr>
              <w:jc w:val="center"/>
              <w:rPr>
                <w:rFonts w:hint="default" w:ascii="Times New Roman" w:hAnsi="Times New Roman" w:eastAsia="宋体" w:cs="Times New Roman"/>
                <w:color w:val="auto"/>
                <w:sz w:val="21"/>
                <w:szCs w:val="21"/>
                <w:vertAlign w:val="baseline"/>
                <w:lang w:val="en-US" w:eastAsia="zh-CN"/>
              </w:rPr>
            </w:pPr>
          </w:p>
        </w:tc>
        <w:tc>
          <w:tcPr>
            <w:tcW w:w="839" w:type="pct"/>
            <w:tcBorders>
              <w:top w:val="single" w:color="auto" w:sz="4" w:space="0"/>
              <w:left w:val="single" w:color="auto" w:sz="4" w:space="0"/>
              <w:bottom w:val="single" w:color="auto" w:sz="4" w:space="0"/>
              <w:right w:val="single" w:color="auto" w:sz="4" w:space="0"/>
            </w:tcBorders>
            <w:noWrap w:val="0"/>
            <w:vAlign w:val="center"/>
          </w:tcPr>
          <w:p w14:paraId="1F290F88">
            <w:pPr>
              <w:jc w:val="center"/>
              <w:rPr>
                <w:rFonts w:hint="default" w:ascii="Times New Roman" w:hAnsi="Times New Roman" w:eastAsia="宋体" w:cs="Times New Roman"/>
                <w:color w:val="auto"/>
                <w:sz w:val="21"/>
                <w:szCs w:val="21"/>
                <w:vertAlign w:val="baseline"/>
                <w:lang w:val="en-US" w:eastAsia="zh-CN"/>
              </w:rPr>
            </w:pPr>
          </w:p>
        </w:tc>
      </w:tr>
      <w:tr w14:paraId="107AF1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3" w:type="pct"/>
            <w:tcBorders>
              <w:top w:val="single" w:color="auto" w:sz="4" w:space="0"/>
              <w:left w:val="single" w:color="auto" w:sz="4" w:space="0"/>
              <w:bottom w:val="single" w:color="auto" w:sz="4" w:space="0"/>
              <w:right w:val="single" w:color="auto" w:sz="4" w:space="0"/>
            </w:tcBorders>
            <w:noWrap w:val="0"/>
            <w:vAlign w:val="center"/>
          </w:tcPr>
          <w:p w14:paraId="0E8DF66F">
            <w:pPr>
              <w:spacing w:beforeLines="0" w:afterLines="0"/>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rPr>
              <w:t>2</w:t>
            </w:r>
          </w:p>
        </w:tc>
        <w:tc>
          <w:tcPr>
            <w:tcW w:w="1103" w:type="pct"/>
            <w:gridSpan w:val="2"/>
            <w:tcBorders>
              <w:top w:val="single" w:color="auto" w:sz="4" w:space="0"/>
              <w:left w:val="single" w:color="auto" w:sz="4" w:space="0"/>
              <w:bottom w:val="single" w:color="auto" w:sz="4" w:space="0"/>
              <w:right w:val="single" w:color="auto" w:sz="4" w:space="0"/>
            </w:tcBorders>
            <w:noWrap w:val="0"/>
            <w:vAlign w:val="center"/>
          </w:tcPr>
          <w:p w14:paraId="25BAC320">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highlight w:val="none"/>
              </w:rPr>
              <w:t>项目投标授权代表人</w:t>
            </w:r>
            <w:r>
              <w:rPr>
                <w:rFonts w:hint="default" w:ascii="Times New Roman" w:hAnsi="Times New Roman" w:cs="Times New Roman"/>
                <w:color w:val="0000FF"/>
                <w:sz w:val="21"/>
                <w:szCs w:val="21"/>
                <w:highlight w:val="none"/>
                <w:lang w:val="en-US" w:eastAsia="zh-CN"/>
              </w:rPr>
              <w:t>（必填项，不可删除或漏填）</w:t>
            </w:r>
          </w:p>
        </w:tc>
        <w:tc>
          <w:tcPr>
            <w:tcW w:w="702" w:type="pct"/>
            <w:tcBorders>
              <w:top w:val="single" w:color="auto" w:sz="4" w:space="0"/>
              <w:left w:val="single" w:color="auto" w:sz="4" w:space="0"/>
              <w:bottom w:val="single" w:color="auto" w:sz="4" w:space="0"/>
              <w:right w:val="single" w:color="auto" w:sz="4" w:space="0"/>
            </w:tcBorders>
            <w:noWrap w:val="0"/>
            <w:vAlign w:val="center"/>
          </w:tcPr>
          <w:p w14:paraId="02643759">
            <w:pPr>
              <w:jc w:val="center"/>
              <w:rPr>
                <w:rFonts w:hint="default" w:ascii="Times New Roman" w:hAnsi="Times New Roman" w:eastAsia="宋体" w:cs="Times New Roman"/>
                <w:color w:val="auto"/>
                <w:sz w:val="21"/>
                <w:szCs w:val="21"/>
                <w:vertAlign w:val="baseline"/>
                <w:lang w:val="en-US" w:eastAsia="zh-CN"/>
              </w:rPr>
            </w:pPr>
          </w:p>
        </w:tc>
        <w:tc>
          <w:tcPr>
            <w:tcW w:w="1113" w:type="pct"/>
            <w:gridSpan w:val="2"/>
            <w:tcBorders>
              <w:top w:val="single" w:color="auto" w:sz="4" w:space="0"/>
              <w:left w:val="single" w:color="auto" w:sz="4" w:space="0"/>
              <w:bottom w:val="single" w:color="auto" w:sz="4" w:space="0"/>
              <w:right w:val="single" w:color="auto" w:sz="4" w:space="0"/>
            </w:tcBorders>
            <w:noWrap w:val="0"/>
            <w:vAlign w:val="center"/>
          </w:tcPr>
          <w:p w14:paraId="5390CBBE">
            <w:pPr>
              <w:jc w:val="center"/>
              <w:rPr>
                <w:rFonts w:hint="default" w:ascii="Times New Roman" w:hAnsi="Times New Roman" w:eastAsia="宋体" w:cs="Times New Roman"/>
                <w:color w:val="auto"/>
                <w:sz w:val="21"/>
                <w:szCs w:val="21"/>
                <w:vertAlign w:val="baseline"/>
                <w:lang w:val="en-US" w:eastAsia="zh-CN"/>
              </w:rPr>
            </w:pPr>
          </w:p>
        </w:tc>
        <w:tc>
          <w:tcPr>
            <w:tcW w:w="838" w:type="pct"/>
            <w:tcBorders>
              <w:top w:val="single" w:color="auto" w:sz="4" w:space="0"/>
              <w:left w:val="single" w:color="auto" w:sz="4" w:space="0"/>
              <w:bottom w:val="single" w:color="auto" w:sz="4" w:space="0"/>
              <w:right w:val="single" w:color="auto" w:sz="4" w:space="0"/>
            </w:tcBorders>
            <w:noWrap w:val="0"/>
            <w:vAlign w:val="center"/>
          </w:tcPr>
          <w:p w14:paraId="5F16C259">
            <w:pPr>
              <w:jc w:val="center"/>
              <w:rPr>
                <w:rFonts w:hint="default" w:ascii="Times New Roman" w:hAnsi="Times New Roman" w:eastAsia="宋体" w:cs="Times New Roman"/>
                <w:color w:val="auto"/>
                <w:sz w:val="21"/>
                <w:szCs w:val="21"/>
                <w:vertAlign w:val="baseline"/>
                <w:lang w:val="en-US" w:eastAsia="zh-CN"/>
              </w:rPr>
            </w:pPr>
          </w:p>
        </w:tc>
        <w:tc>
          <w:tcPr>
            <w:tcW w:w="839" w:type="pct"/>
            <w:tcBorders>
              <w:top w:val="single" w:color="auto" w:sz="4" w:space="0"/>
              <w:left w:val="single" w:color="auto" w:sz="4" w:space="0"/>
              <w:bottom w:val="single" w:color="auto" w:sz="4" w:space="0"/>
              <w:right w:val="single" w:color="auto" w:sz="4" w:space="0"/>
            </w:tcBorders>
            <w:noWrap w:val="0"/>
            <w:vAlign w:val="center"/>
          </w:tcPr>
          <w:p w14:paraId="14EE9C02">
            <w:pPr>
              <w:jc w:val="center"/>
              <w:rPr>
                <w:rFonts w:hint="default" w:ascii="Times New Roman" w:hAnsi="Times New Roman" w:eastAsia="宋体" w:cs="Times New Roman"/>
                <w:color w:val="auto"/>
                <w:sz w:val="21"/>
                <w:szCs w:val="21"/>
                <w:vertAlign w:val="baseline"/>
                <w:lang w:val="en-US" w:eastAsia="zh-CN"/>
              </w:rPr>
            </w:pPr>
          </w:p>
        </w:tc>
      </w:tr>
      <w:tr w14:paraId="33CBA2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74" w:hRule="atLeast"/>
          <w:jc w:val="center"/>
        </w:trPr>
        <w:tc>
          <w:tcPr>
            <w:tcW w:w="403" w:type="pct"/>
            <w:tcBorders>
              <w:top w:val="single" w:color="auto" w:sz="4" w:space="0"/>
            </w:tcBorders>
            <w:noWrap w:val="0"/>
            <w:vAlign w:val="center"/>
          </w:tcPr>
          <w:p w14:paraId="0A0D21BA">
            <w:pPr>
              <w:spacing w:beforeLines="0" w:afterLines="0"/>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lang w:bidi="ar"/>
              </w:rPr>
              <w:t>3</w:t>
            </w:r>
          </w:p>
        </w:tc>
        <w:tc>
          <w:tcPr>
            <w:tcW w:w="1103" w:type="pct"/>
            <w:gridSpan w:val="2"/>
            <w:tcBorders>
              <w:top w:val="single" w:color="auto" w:sz="4" w:space="0"/>
            </w:tcBorders>
            <w:noWrap w:val="0"/>
            <w:vAlign w:val="center"/>
          </w:tcPr>
          <w:p w14:paraId="73574A17">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highlight w:val="none"/>
              </w:rPr>
              <w:t>项目负责人</w:t>
            </w:r>
            <w:r>
              <w:rPr>
                <w:rFonts w:hint="default" w:ascii="Times New Roman" w:hAnsi="Times New Roman" w:cs="Times New Roman"/>
                <w:color w:val="0000FF"/>
                <w:sz w:val="21"/>
                <w:szCs w:val="21"/>
                <w:highlight w:val="none"/>
                <w:lang w:val="en-US" w:eastAsia="zh-CN"/>
              </w:rPr>
              <w:t>（必填项，不可删除或漏填）</w:t>
            </w:r>
          </w:p>
        </w:tc>
        <w:tc>
          <w:tcPr>
            <w:tcW w:w="702" w:type="pct"/>
            <w:tcBorders>
              <w:top w:val="single" w:color="auto" w:sz="4" w:space="0"/>
            </w:tcBorders>
            <w:noWrap w:val="0"/>
            <w:vAlign w:val="center"/>
          </w:tcPr>
          <w:p w14:paraId="7098FD09">
            <w:pPr>
              <w:jc w:val="center"/>
              <w:rPr>
                <w:rFonts w:hint="default" w:ascii="Times New Roman" w:hAnsi="Times New Roman" w:eastAsia="宋体" w:cs="Times New Roman"/>
                <w:color w:val="auto"/>
                <w:sz w:val="21"/>
                <w:szCs w:val="21"/>
                <w:vertAlign w:val="baseline"/>
                <w:lang w:val="en-US" w:eastAsia="zh-CN"/>
              </w:rPr>
            </w:pPr>
          </w:p>
        </w:tc>
        <w:tc>
          <w:tcPr>
            <w:tcW w:w="1113" w:type="pct"/>
            <w:gridSpan w:val="2"/>
            <w:tcBorders>
              <w:top w:val="single" w:color="auto" w:sz="4" w:space="0"/>
            </w:tcBorders>
            <w:noWrap w:val="0"/>
            <w:vAlign w:val="center"/>
          </w:tcPr>
          <w:p w14:paraId="6710102A">
            <w:pPr>
              <w:jc w:val="center"/>
              <w:rPr>
                <w:rFonts w:hint="default" w:ascii="Times New Roman" w:hAnsi="Times New Roman" w:eastAsia="宋体" w:cs="Times New Roman"/>
                <w:color w:val="auto"/>
                <w:sz w:val="21"/>
                <w:szCs w:val="21"/>
                <w:vertAlign w:val="baseline"/>
                <w:lang w:val="en-US" w:eastAsia="zh-CN"/>
              </w:rPr>
            </w:pPr>
          </w:p>
        </w:tc>
        <w:tc>
          <w:tcPr>
            <w:tcW w:w="838" w:type="pct"/>
            <w:tcBorders>
              <w:top w:val="single" w:color="auto" w:sz="4" w:space="0"/>
            </w:tcBorders>
            <w:noWrap w:val="0"/>
            <w:vAlign w:val="center"/>
          </w:tcPr>
          <w:p w14:paraId="63438CD7">
            <w:pPr>
              <w:jc w:val="center"/>
              <w:rPr>
                <w:rFonts w:hint="default" w:ascii="Times New Roman" w:hAnsi="Times New Roman" w:eastAsia="宋体" w:cs="Times New Roman"/>
                <w:color w:val="auto"/>
                <w:sz w:val="21"/>
                <w:szCs w:val="21"/>
                <w:vertAlign w:val="baseline"/>
                <w:lang w:val="en-US" w:eastAsia="zh-CN"/>
              </w:rPr>
            </w:pPr>
          </w:p>
        </w:tc>
        <w:tc>
          <w:tcPr>
            <w:tcW w:w="839" w:type="pct"/>
            <w:tcBorders>
              <w:top w:val="single" w:color="auto" w:sz="4" w:space="0"/>
            </w:tcBorders>
            <w:noWrap w:val="0"/>
            <w:vAlign w:val="center"/>
          </w:tcPr>
          <w:p w14:paraId="461F9D0D">
            <w:pPr>
              <w:jc w:val="center"/>
              <w:rPr>
                <w:rFonts w:hint="default" w:ascii="Times New Roman" w:hAnsi="Times New Roman" w:eastAsia="宋体" w:cs="Times New Roman"/>
                <w:color w:val="auto"/>
                <w:sz w:val="21"/>
                <w:szCs w:val="21"/>
                <w:vertAlign w:val="baseline"/>
                <w:lang w:val="en-US" w:eastAsia="zh-CN"/>
              </w:rPr>
            </w:pPr>
          </w:p>
        </w:tc>
      </w:tr>
      <w:tr w14:paraId="6B11C7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3" w:type="pct"/>
            <w:noWrap w:val="0"/>
            <w:vAlign w:val="center"/>
          </w:tcPr>
          <w:p w14:paraId="50747B4A">
            <w:pPr>
              <w:spacing w:beforeLines="0" w:afterLines="0"/>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lang w:bidi="ar"/>
              </w:rPr>
              <w:t>4</w:t>
            </w:r>
          </w:p>
        </w:tc>
        <w:tc>
          <w:tcPr>
            <w:tcW w:w="1103" w:type="pct"/>
            <w:gridSpan w:val="2"/>
            <w:noWrap w:val="0"/>
            <w:vAlign w:val="center"/>
          </w:tcPr>
          <w:p w14:paraId="18A15F99">
            <w:pPr>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highlight w:val="none"/>
              </w:rPr>
              <w:t>主要技术人员</w:t>
            </w:r>
            <w:r>
              <w:rPr>
                <w:rFonts w:hint="default" w:ascii="Times New Roman" w:hAnsi="Times New Roman" w:cs="Times New Roman"/>
                <w:color w:val="0000FF"/>
                <w:sz w:val="21"/>
                <w:szCs w:val="21"/>
                <w:highlight w:val="none"/>
                <w:lang w:val="en-US" w:eastAsia="zh-CN"/>
              </w:rPr>
              <w:t>（必填项，不可删除或漏填）</w:t>
            </w:r>
          </w:p>
        </w:tc>
        <w:tc>
          <w:tcPr>
            <w:tcW w:w="702" w:type="pct"/>
            <w:noWrap w:val="0"/>
            <w:vAlign w:val="center"/>
          </w:tcPr>
          <w:p w14:paraId="4D8BB8BE">
            <w:pPr>
              <w:jc w:val="center"/>
              <w:rPr>
                <w:rFonts w:hint="default" w:ascii="Times New Roman" w:hAnsi="Times New Roman" w:eastAsia="宋体" w:cs="Times New Roman"/>
                <w:color w:val="auto"/>
                <w:sz w:val="21"/>
                <w:szCs w:val="21"/>
                <w:vertAlign w:val="baseline"/>
                <w:lang w:val="en-US" w:eastAsia="zh-CN"/>
              </w:rPr>
            </w:pPr>
          </w:p>
        </w:tc>
        <w:tc>
          <w:tcPr>
            <w:tcW w:w="1113" w:type="pct"/>
            <w:gridSpan w:val="2"/>
            <w:noWrap w:val="0"/>
            <w:vAlign w:val="center"/>
          </w:tcPr>
          <w:p w14:paraId="3FA54A8E">
            <w:pPr>
              <w:jc w:val="center"/>
              <w:rPr>
                <w:rFonts w:hint="default" w:ascii="Times New Roman" w:hAnsi="Times New Roman" w:eastAsia="宋体" w:cs="Times New Roman"/>
                <w:color w:val="auto"/>
                <w:sz w:val="21"/>
                <w:szCs w:val="21"/>
                <w:vertAlign w:val="baseline"/>
                <w:lang w:val="en-US" w:eastAsia="zh-CN"/>
              </w:rPr>
            </w:pPr>
          </w:p>
        </w:tc>
        <w:tc>
          <w:tcPr>
            <w:tcW w:w="838" w:type="pct"/>
            <w:noWrap w:val="0"/>
            <w:vAlign w:val="center"/>
          </w:tcPr>
          <w:p w14:paraId="7375EED3">
            <w:pPr>
              <w:jc w:val="center"/>
              <w:rPr>
                <w:rFonts w:hint="default" w:ascii="Times New Roman" w:hAnsi="Times New Roman" w:eastAsia="宋体" w:cs="Times New Roman"/>
                <w:color w:val="auto"/>
                <w:sz w:val="21"/>
                <w:szCs w:val="21"/>
                <w:vertAlign w:val="baseline"/>
                <w:lang w:val="en-US" w:eastAsia="zh-CN"/>
              </w:rPr>
            </w:pPr>
          </w:p>
        </w:tc>
        <w:tc>
          <w:tcPr>
            <w:tcW w:w="839" w:type="pct"/>
            <w:noWrap w:val="0"/>
            <w:vAlign w:val="center"/>
          </w:tcPr>
          <w:p w14:paraId="0EF6BC0E">
            <w:pPr>
              <w:jc w:val="center"/>
              <w:rPr>
                <w:rFonts w:hint="default" w:ascii="Times New Roman" w:hAnsi="Times New Roman" w:eastAsia="宋体" w:cs="Times New Roman"/>
                <w:color w:val="auto"/>
                <w:sz w:val="21"/>
                <w:szCs w:val="21"/>
                <w:vertAlign w:val="baseline"/>
                <w:lang w:val="en-US" w:eastAsia="zh-CN"/>
              </w:rPr>
            </w:pPr>
          </w:p>
        </w:tc>
      </w:tr>
      <w:tr w14:paraId="57059E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 w:hRule="atLeast"/>
          <w:jc w:val="center"/>
        </w:trPr>
        <w:tc>
          <w:tcPr>
            <w:tcW w:w="403" w:type="pct"/>
            <w:noWrap w:val="0"/>
            <w:vAlign w:val="center"/>
          </w:tcPr>
          <w:p w14:paraId="1C6A3892">
            <w:pPr>
              <w:spacing w:beforeLines="0" w:afterLines="0"/>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lang w:bidi="ar"/>
              </w:rPr>
              <w:t>5</w:t>
            </w:r>
          </w:p>
        </w:tc>
        <w:tc>
          <w:tcPr>
            <w:tcW w:w="1103" w:type="pct"/>
            <w:gridSpan w:val="2"/>
            <w:noWrap w:val="0"/>
            <w:vAlign w:val="center"/>
          </w:tcPr>
          <w:p w14:paraId="00CC0679">
            <w:pPr>
              <w:widowControl w:val="0"/>
              <w:snapToGrid w:val="0"/>
              <w:ind w:left="0" w:leftChars="0" w:firstLine="0" w:firstLineChars="0"/>
              <w:jc w:val="center"/>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eastAsia="宋体" w:cs="Times New Roman"/>
                <w:color w:val="auto"/>
                <w:kern w:val="2"/>
                <w:sz w:val="21"/>
                <w:szCs w:val="21"/>
                <w:highlight w:val="none"/>
                <w:lang w:val="en-US" w:eastAsia="zh-CN" w:bidi="ar-SA"/>
              </w:rPr>
              <w:t>投标文件编制人员</w:t>
            </w:r>
            <w:r>
              <w:rPr>
                <w:rFonts w:hint="default" w:ascii="Times New Roman" w:hAnsi="Times New Roman" w:cs="Times New Roman"/>
                <w:color w:val="0000FF"/>
                <w:sz w:val="21"/>
                <w:szCs w:val="21"/>
                <w:highlight w:val="none"/>
                <w:lang w:val="en-US" w:eastAsia="zh-CN"/>
              </w:rPr>
              <w:t>（必填项，不可删除或漏填）</w:t>
            </w:r>
          </w:p>
        </w:tc>
        <w:tc>
          <w:tcPr>
            <w:tcW w:w="702" w:type="pct"/>
            <w:noWrap w:val="0"/>
            <w:vAlign w:val="center"/>
          </w:tcPr>
          <w:p w14:paraId="5D393F87">
            <w:pPr>
              <w:jc w:val="center"/>
              <w:rPr>
                <w:rFonts w:hint="default" w:ascii="Times New Roman" w:hAnsi="Times New Roman" w:eastAsia="宋体" w:cs="Times New Roman"/>
                <w:color w:val="auto"/>
                <w:sz w:val="21"/>
                <w:szCs w:val="21"/>
                <w:vertAlign w:val="baseline"/>
                <w:lang w:val="en-US" w:eastAsia="zh-CN"/>
              </w:rPr>
            </w:pPr>
          </w:p>
        </w:tc>
        <w:tc>
          <w:tcPr>
            <w:tcW w:w="1113" w:type="pct"/>
            <w:gridSpan w:val="2"/>
            <w:noWrap w:val="0"/>
            <w:vAlign w:val="center"/>
          </w:tcPr>
          <w:p w14:paraId="0C2E3F6A">
            <w:pPr>
              <w:jc w:val="center"/>
              <w:rPr>
                <w:rFonts w:hint="default" w:ascii="Times New Roman" w:hAnsi="Times New Roman" w:eastAsia="宋体" w:cs="Times New Roman"/>
                <w:color w:val="auto"/>
                <w:sz w:val="21"/>
                <w:szCs w:val="21"/>
                <w:vertAlign w:val="baseline"/>
                <w:lang w:val="en-US" w:eastAsia="zh-CN"/>
              </w:rPr>
            </w:pPr>
          </w:p>
        </w:tc>
        <w:tc>
          <w:tcPr>
            <w:tcW w:w="838" w:type="pct"/>
            <w:noWrap w:val="0"/>
            <w:vAlign w:val="center"/>
          </w:tcPr>
          <w:p w14:paraId="04A2CA29">
            <w:pPr>
              <w:jc w:val="center"/>
              <w:rPr>
                <w:rFonts w:hint="default" w:ascii="Times New Roman" w:hAnsi="Times New Roman" w:eastAsia="宋体" w:cs="Times New Roman"/>
                <w:color w:val="auto"/>
                <w:sz w:val="21"/>
                <w:szCs w:val="21"/>
                <w:vertAlign w:val="baseline"/>
                <w:lang w:val="en-US" w:eastAsia="zh-CN"/>
              </w:rPr>
            </w:pPr>
          </w:p>
        </w:tc>
        <w:tc>
          <w:tcPr>
            <w:tcW w:w="839" w:type="pct"/>
            <w:noWrap w:val="0"/>
            <w:vAlign w:val="center"/>
          </w:tcPr>
          <w:p w14:paraId="4B603ED8">
            <w:pPr>
              <w:jc w:val="center"/>
              <w:rPr>
                <w:rFonts w:hint="default" w:ascii="Times New Roman" w:hAnsi="Times New Roman" w:eastAsia="宋体" w:cs="Times New Roman"/>
                <w:color w:val="auto"/>
                <w:sz w:val="21"/>
                <w:szCs w:val="21"/>
                <w:vertAlign w:val="baseline"/>
                <w:lang w:val="en-US" w:eastAsia="zh-CN"/>
              </w:rPr>
            </w:pPr>
          </w:p>
        </w:tc>
      </w:tr>
      <w:tr w14:paraId="184218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92" w:hRule="atLeast"/>
          <w:jc w:val="center"/>
        </w:trPr>
        <w:tc>
          <w:tcPr>
            <w:tcW w:w="5000" w:type="pct"/>
            <w:gridSpan w:val="8"/>
            <w:noWrap w:val="0"/>
            <w:vAlign w:val="center"/>
          </w:tcPr>
          <w:p w14:paraId="6E279CAC">
            <w:pPr>
              <w:jc w:val="left"/>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b/>
                <w:bCs/>
                <w:color w:val="auto"/>
                <w:sz w:val="21"/>
                <w:szCs w:val="21"/>
                <w:highlight w:val="none"/>
                <w:vertAlign w:val="baseline"/>
                <w:lang w:val="en-US" w:eastAsia="zh-CN"/>
              </w:rPr>
              <w:t>说明：同一职务有多人担任（如主要技术人员），应分行填写。</w:t>
            </w:r>
          </w:p>
        </w:tc>
      </w:tr>
      <w:tr w14:paraId="764357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jc w:val="center"/>
        </w:trPr>
        <w:tc>
          <w:tcPr>
            <w:tcW w:w="5000" w:type="pct"/>
            <w:gridSpan w:val="8"/>
            <w:noWrap w:val="0"/>
            <w:vAlign w:val="center"/>
          </w:tcPr>
          <w:p w14:paraId="1D76934B">
            <w:pPr>
              <w:jc w:val="center"/>
              <w:rPr>
                <w:rFonts w:hint="default" w:ascii="Times New Roman" w:hAnsi="Times New Roman" w:eastAsia="宋体" w:cs="Times New Roman"/>
                <w:b/>
                <w:bCs/>
                <w:color w:val="auto"/>
                <w:sz w:val="21"/>
                <w:szCs w:val="21"/>
                <w:vertAlign w:val="baseline"/>
                <w:lang w:val="en-US" w:eastAsia="zh-CN"/>
              </w:rPr>
            </w:pPr>
            <w:r>
              <w:rPr>
                <w:rFonts w:hint="default" w:ascii="Times New Roman" w:hAnsi="Times New Roman" w:eastAsia="宋体" w:cs="Times New Roman"/>
                <w:b/>
                <w:bCs/>
                <w:color w:val="auto"/>
                <w:sz w:val="21"/>
                <w:szCs w:val="21"/>
                <w:vertAlign w:val="baseline"/>
                <w:lang w:val="en-US" w:eastAsia="zh-CN"/>
              </w:rPr>
              <w:t>投标（响应）供应商关联关系情况</w:t>
            </w:r>
          </w:p>
        </w:tc>
      </w:tr>
      <w:tr w14:paraId="6B9316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jc w:val="center"/>
        </w:trPr>
        <w:tc>
          <w:tcPr>
            <w:tcW w:w="403" w:type="pct"/>
            <w:tcBorders>
              <w:bottom w:val="single" w:color="auto" w:sz="4" w:space="0"/>
            </w:tcBorders>
            <w:noWrap w:val="0"/>
            <w:vAlign w:val="center"/>
          </w:tcPr>
          <w:p w14:paraId="0BBF18CB">
            <w:pPr>
              <w:jc w:val="center"/>
              <w:rPr>
                <w:rFonts w:hint="default" w:ascii="Times New Roman" w:hAnsi="Times New Roman" w:eastAsia="宋体" w:cs="Times New Roman"/>
                <w:b/>
                <w:bCs/>
                <w:color w:val="auto"/>
                <w:sz w:val="21"/>
                <w:szCs w:val="21"/>
                <w:vertAlign w:val="baseline"/>
                <w:lang w:val="en-US" w:eastAsia="zh-CN" w:bidi="ar"/>
              </w:rPr>
            </w:pPr>
            <w:r>
              <w:rPr>
                <w:rFonts w:hint="default" w:ascii="Times New Roman" w:hAnsi="Times New Roman" w:eastAsia="宋体" w:cs="Times New Roman"/>
                <w:b/>
                <w:bCs/>
                <w:color w:val="auto"/>
                <w:sz w:val="21"/>
                <w:szCs w:val="21"/>
                <w:vertAlign w:val="baseline"/>
                <w:lang w:val="en-US" w:eastAsia="zh-CN" w:bidi="ar"/>
              </w:rPr>
              <w:t>序号</w:t>
            </w:r>
          </w:p>
        </w:tc>
        <w:tc>
          <w:tcPr>
            <w:tcW w:w="1103" w:type="pct"/>
            <w:gridSpan w:val="2"/>
            <w:tcBorders>
              <w:bottom w:val="single" w:color="auto" w:sz="4" w:space="0"/>
            </w:tcBorders>
            <w:noWrap w:val="0"/>
            <w:vAlign w:val="center"/>
          </w:tcPr>
          <w:p w14:paraId="7E75C81E">
            <w:pPr>
              <w:jc w:val="center"/>
              <w:rPr>
                <w:rFonts w:hint="default" w:ascii="Times New Roman" w:hAnsi="Times New Roman" w:eastAsia="宋体" w:cs="Times New Roman"/>
                <w:b/>
                <w:bCs/>
                <w:color w:val="auto"/>
                <w:sz w:val="21"/>
                <w:szCs w:val="21"/>
                <w:highlight w:val="none"/>
                <w:lang w:val="en-US" w:eastAsia="zh-CN"/>
              </w:rPr>
            </w:pPr>
            <w:r>
              <w:rPr>
                <w:rFonts w:hint="default" w:ascii="Times New Roman" w:hAnsi="Times New Roman" w:eastAsia="宋体" w:cs="Times New Roman"/>
                <w:b/>
                <w:bCs/>
                <w:color w:val="auto"/>
                <w:sz w:val="21"/>
                <w:szCs w:val="21"/>
                <w:highlight w:val="none"/>
                <w:vertAlign w:val="baseline"/>
                <w:lang w:val="en-US" w:eastAsia="zh-CN"/>
              </w:rPr>
              <w:t>关联关系类型</w:t>
            </w:r>
          </w:p>
        </w:tc>
        <w:tc>
          <w:tcPr>
            <w:tcW w:w="1143" w:type="pct"/>
            <w:gridSpan w:val="2"/>
            <w:tcBorders>
              <w:bottom w:val="single" w:color="auto" w:sz="4" w:space="0"/>
            </w:tcBorders>
            <w:noWrap w:val="0"/>
            <w:vAlign w:val="center"/>
          </w:tcPr>
          <w:p w14:paraId="7E55BD09">
            <w:pPr>
              <w:jc w:val="center"/>
              <w:rPr>
                <w:rFonts w:hint="default" w:ascii="Times New Roman" w:hAnsi="Times New Roman" w:eastAsia="宋体" w:cs="Times New Roman"/>
                <w:b/>
                <w:bCs/>
                <w:color w:val="auto"/>
                <w:sz w:val="21"/>
                <w:szCs w:val="21"/>
                <w:highlight w:val="none"/>
                <w:vertAlign w:val="baseline"/>
                <w:lang w:val="en-US" w:eastAsia="zh-CN"/>
              </w:rPr>
            </w:pPr>
            <w:r>
              <w:rPr>
                <w:rFonts w:hint="default" w:ascii="Times New Roman" w:hAnsi="Times New Roman" w:eastAsia="宋体" w:cs="Times New Roman"/>
                <w:b/>
                <w:bCs/>
                <w:color w:val="auto"/>
                <w:sz w:val="21"/>
                <w:szCs w:val="21"/>
                <w:highlight w:val="none"/>
                <w:vertAlign w:val="baseline"/>
                <w:lang w:val="en-US" w:eastAsia="zh-CN"/>
              </w:rPr>
              <w:t>关联主体名称</w:t>
            </w:r>
          </w:p>
        </w:tc>
        <w:tc>
          <w:tcPr>
            <w:tcW w:w="2349" w:type="pct"/>
            <w:gridSpan w:val="3"/>
            <w:tcBorders>
              <w:bottom w:val="single" w:color="auto" w:sz="4" w:space="0"/>
            </w:tcBorders>
            <w:noWrap w:val="0"/>
            <w:vAlign w:val="center"/>
          </w:tcPr>
          <w:p w14:paraId="0CEEAE78">
            <w:pPr>
              <w:jc w:val="center"/>
              <w:rPr>
                <w:rFonts w:hint="default" w:ascii="Times New Roman" w:hAnsi="Times New Roman" w:eastAsia="宋体" w:cs="Times New Roman"/>
                <w:b/>
                <w:bCs/>
                <w:color w:val="auto"/>
                <w:sz w:val="21"/>
                <w:szCs w:val="21"/>
                <w:highlight w:val="none"/>
                <w:vertAlign w:val="baseline"/>
                <w:lang w:val="en-US" w:eastAsia="zh-CN"/>
              </w:rPr>
            </w:pPr>
            <w:r>
              <w:rPr>
                <w:rFonts w:hint="default" w:ascii="Times New Roman" w:hAnsi="Times New Roman" w:eastAsia="宋体" w:cs="Times New Roman"/>
                <w:b/>
                <w:bCs/>
                <w:color w:val="auto"/>
                <w:sz w:val="21"/>
                <w:szCs w:val="21"/>
                <w:highlight w:val="none"/>
                <w:vertAlign w:val="baseline"/>
                <w:lang w:val="en-US" w:eastAsia="zh-CN"/>
              </w:rPr>
              <w:t>备注</w:t>
            </w:r>
          </w:p>
        </w:tc>
      </w:tr>
      <w:tr w14:paraId="7D569F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3" w:type="pct"/>
            <w:tcBorders>
              <w:top w:val="single" w:color="auto" w:sz="4" w:space="0"/>
              <w:left w:val="single" w:color="auto" w:sz="4" w:space="0"/>
              <w:bottom w:val="single" w:color="auto" w:sz="4" w:space="0"/>
              <w:right w:val="single" w:color="auto" w:sz="4" w:space="0"/>
            </w:tcBorders>
            <w:noWrap w:val="0"/>
            <w:vAlign w:val="center"/>
          </w:tcPr>
          <w:p w14:paraId="51C00BE5">
            <w:pPr>
              <w:jc w:val="center"/>
              <w:rPr>
                <w:rFonts w:hint="default" w:ascii="Times New Roman" w:hAnsi="Times New Roman" w:eastAsia="宋体" w:cs="Times New Roman"/>
                <w:color w:val="auto"/>
                <w:sz w:val="21"/>
                <w:szCs w:val="21"/>
                <w:vertAlign w:val="baseline"/>
                <w:lang w:val="en-US" w:eastAsia="zh-CN" w:bidi="ar"/>
              </w:rPr>
            </w:pPr>
            <w:r>
              <w:rPr>
                <w:rFonts w:hint="default" w:ascii="Times New Roman" w:hAnsi="Times New Roman" w:eastAsia="宋体" w:cs="Times New Roman"/>
                <w:color w:val="auto"/>
                <w:sz w:val="21"/>
                <w:szCs w:val="21"/>
                <w:vertAlign w:val="baseline"/>
                <w:lang w:val="en-US" w:eastAsia="zh-CN" w:bidi="ar"/>
              </w:rPr>
              <w:t>1</w:t>
            </w:r>
          </w:p>
        </w:tc>
        <w:tc>
          <w:tcPr>
            <w:tcW w:w="1103" w:type="pct"/>
            <w:gridSpan w:val="2"/>
            <w:tcBorders>
              <w:top w:val="single" w:color="auto" w:sz="4" w:space="0"/>
              <w:left w:val="single" w:color="auto" w:sz="4" w:space="0"/>
              <w:bottom w:val="single" w:color="auto" w:sz="4" w:space="0"/>
              <w:right w:val="single" w:color="auto" w:sz="4" w:space="0"/>
            </w:tcBorders>
            <w:noWrap w:val="0"/>
            <w:vAlign w:val="center"/>
          </w:tcPr>
          <w:p w14:paraId="0CE79F11">
            <w:pPr>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控股股东</w:t>
            </w:r>
            <w:r>
              <w:rPr>
                <w:rFonts w:hint="default" w:ascii="Times New Roman" w:hAnsi="Times New Roman" w:cs="Times New Roman"/>
                <w:color w:val="0000FF"/>
                <w:sz w:val="21"/>
                <w:szCs w:val="21"/>
                <w:highlight w:val="none"/>
                <w:lang w:val="en-US" w:eastAsia="zh-CN"/>
              </w:rPr>
              <w:t>（必填项，不可删除或漏填）</w:t>
            </w:r>
          </w:p>
        </w:tc>
        <w:tc>
          <w:tcPr>
            <w:tcW w:w="1143" w:type="pct"/>
            <w:gridSpan w:val="2"/>
            <w:tcBorders>
              <w:top w:val="single" w:color="auto" w:sz="4" w:space="0"/>
              <w:left w:val="single" w:color="auto" w:sz="4" w:space="0"/>
              <w:bottom w:val="single" w:color="auto" w:sz="4" w:space="0"/>
              <w:right w:val="single" w:color="auto" w:sz="4" w:space="0"/>
            </w:tcBorders>
            <w:noWrap w:val="0"/>
            <w:vAlign w:val="center"/>
          </w:tcPr>
          <w:p w14:paraId="0DF20065">
            <w:pPr>
              <w:jc w:val="center"/>
              <w:rPr>
                <w:rFonts w:hint="default" w:ascii="Times New Roman" w:hAnsi="Times New Roman" w:eastAsia="宋体" w:cs="Times New Roman"/>
                <w:color w:val="auto"/>
                <w:sz w:val="21"/>
                <w:szCs w:val="21"/>
                <w:highlight w:val="none"/>
                <w:vertAlign w:val="baseline"/>
                <w:lang w:val="en-US" w:eastAsia="zh-CN"/>
              </w:rPr>
            </w:pPr>
          </w:p>
        </w:tc>
        <w:tc>
          <w:tcPr>
            <w:tcW w:w="2349" w:type="pct"/>
            <w:gridSpan w:val="3"/>
            <w:tcBorders>
              <w:top w:val="single" w:color="auto" w:sz="4" w:space="0"/>
              <w:left w:val="single" w:color="auto" w:sz="4" w:space="0"/>
              <w:bottom w:val="single" w:color="auto" w:sz="4" w:space="0"/>
              <w:right w:val="single" w:color="auto" w:sz="4" w:space="0"/>
            </w:tcBorders>
            <w:noWrap w:val="0"/>
            <w:vAlign w:val="center"/>
          </w:tcPr>
          <w:p w14:paraId="79DA683D">
            <w:pPr>
              <w:snapToGrid w:val="0"/>
              <w:jc w:val="left"/>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sz w:val="21"/>
                <w:szCs w:val="21"/>
                <w:highlight w:val="none"/>
                <w:vertAlign w:val="baseline"/>
                <w:lang w:val="en-US" w:eastAsia="zh-CN"/>
              </w:rPr>
              <w:t>指出资额（或持有股份）占投标（响应）供应商资本总额（或股本总额）</w:t>
            </w:r>
            <w:r>
              <w:rPr>
                <w:rFonts w:hint="default" w:ascii="Times New Roman" w:hAnsi="Times New Roman" w:eastAsia="宋体" w:cs="Times New Roman"/>
                <w:b/>
                <w:bCs/>
                <w:color w:val="FF0000"/>
                <w:sz w:val="21"/>
                <w:szCs w:val="21"/>
                <w:highlight w:val="none"/>
                <w:vertAlign w:val="baseline"/>
                <w:lang w:val="en-US" w:eastAsia="zh-CN"/>
              </w:rPr>
              <w:t>50%以上的股东，</w:t>
            </w:r>
            <w:r>
              <w:rPr>
                <w:rFonts w:hint="default" w:ascii="Times New Roman" w:hAnsi="Times New Roman" w:eastAsia="宋体" w:cs="Times New Roman"/>
                <w:b/>
                <w:bCs/>
                <w:color w:val="auto"/>
                <w:sz w:val="24"/>
                <w:szCs w:val="24"/>
                <w:highlight w:val="none"/>
                <w:vertAlign w:val="baseline"/>
                <w:lang w:val="en-US" w:eastAsia="zh-CN"/>
              </w:rPr>
              <w:t>以及</w:t>
            </w:r>
            <w:r>
              <w:rPr>
                <w:rFonts w:hint="default" w:ascii="Times New Roman" w:hAnsi="Times New Roman" w:eastAsia="宋体" w:cs="Times New Roman"/>
                <w:color w:val="auto"/>
                <w:sz w:val="21"/>
                <w:szCs w:val="21"/>
                <w:highlight w:val="none"/>
                <w:vertAlign w:val="baseline"/>
                <w:lang w:val="en-US" w:eastAsia="zh-CN"/>
              </w:rPr>
              <w:t>出资额（或持有股份）的比例虽然不足50%，但依其出资额（或持有股份）</w:t>
            </w:r>
            <w:r>
              <w:rPr>
                <w:rFonts w:hint="default" w:ascii="Times New Roman" w:hAnsi="Times New Roman" w:eastAsia="宋体" w:cs="Times New Roman"/>
                <w:b/>
                <w:bCs/>
                <w:color w:val="FF0000"/>
                <w:sz w:val="21"/>
                <w:szCs w:val="21"/>
                <w:highlight w:val="none"/>
                <w:vertAlign w:val="baseline"/>
                <w:lang w:val="en-US" w:eastAsia="zh-CN"/>
              </w:rPr>
              <w:t>所享有的表决权已足以对投标（响应）供应商股东会（或股东大会）的决议产生重要影响的股东。</w:t>
            </w:r>
          </w:p>
        </w:tc>
      </w:tr>
      <w:tr w14:paraId="1F0DB5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9" w:hRule="atLeast"/>
          <w:jc w:val="center"/>
        </w:trPr>
        <w:tc>
          <w:tcPr>
            <w:tcW w:w="403" w:type="pct"/>
            <w:tcBorders>
              <w:top w:val="single" w:color="auto" w:sz="4" w:space="0"/>
              <w:left w:val="single" w:color="auto" w:sz="4" w:space="0"/>
              <w:bottom w:val="single" w:color="auto" w:sz="4" w:space="0"/>
              <w:right w:val="single" w:color="auto" w:sz="4" w:space="0"/>
            </w:tcBorders>
            <w:noWrap w:val="0"/>
            <w:vAlign w:val="center"/>
          </w:tcPr>
          <w:p w14:paraId="6C9F2FCF">
            <w:pPr>
              <w:jc w:val="center"/>
              <w:rPr>
                <w:rFonts w:hint="default" w:ascii="Times New Roman" w:hAnsi="Times New Roman" w:eastAsia="宋体" w:cs="Times New Roman"/>
                <w:color w:val="auto"/>
                <w:sz w:val="21"/>
                <w:szCs w:val="21"/>
                <w:vertAlign w:val="baseline"/>
                <w:lang w:val="en-US" w:eastAsia="zh-CN" w:bidi="ar"/>
              </w:rPr>
            </w:pPr>
            <w:r>
              <w:rPr>
                <w:rFonts w:hint="default" w:ascii="Times New Roman" w:hAnsi="Times New Roman" w:eastAsia="宋体" w:cs="Times New Roman"/>
                <w:color w:val="auto"/>
                <w:sz w:val="21"/>
                <w:szCs w:val="21"/>
                <w:vertAlign w:val="baseline"/>
                <w:lang w:val="en-US" w:eastAsia="zh-CN" w:bidi="ar"/>
              </w:rPr>
              <w:t>2</w:t>
            </w:r>
          </w:p>
        </w:tc>
        <w:tc>
          <w:tcPr>
            <w:tcW w:w="1103" w:type="pct"/>
            <w:gridSpan w:val="2"/>
            <w:tcBorders>
              <w:top w:val="single" w:color="auto" w:sz="4" w:space="0"/>
              <w:left w:val="single" w:color="auto" w:sz="4" w:space="0"/>
              <w:bottom w:val="single" w:color="auto" w:sz="4" w:space="0"/>
              <w:right w:val="single" w:color="auto" w:sz="4" w:space="0"/>
            </w:tcBorders>
            <w:noWrap w:val="0"/>
            <w:vAlign w:val="center"/>
          </w:tcPr>
          <w:p w14:paraId="06B6B5C7">
            <w:pPr>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管理关系</w:t>
            </w:r>
            <w:r>
              <w:rPr>
                <w:rFonts w:hint="default" w:ascii="Times New Roman" w:hAnsi="Times New Roman" w:cs="Times New Roman"/>
                <w:b w:val="0"/>
                <w:bCs w:val="0"/>
                <w:color w:val="0000FF"/>
                <w:sz w:val="21"/>
                <w:szCs w:val="21"/>
                <w:highlight w:val="none"/>
                <w:lang w:val="en-US" w:eastAsia="zh-CN"/>
              </w:rPr>
              <w:t>（</w:t>
            </w:r>
            <w:r>
              <w:rPr>
                <w:rFonts w:hint="default" w:ascii="Times New Roman" w:hAnsi="Times New Roman" w:cs="Times New Roman"/>
                <w:b w:val="0"/>
                <w:bCs w:val="0"/>
                <w:color w:val="0000FF"/>
                <w:sz w:val="21"/>
                <w:szCs w:val="21"/>
                <w:highlight w:val="none"/>
                <w:vertAlign w:val="baseline"/>
                <w:lang w:val="en-US" w:eastAsia="zh-CN"/>
              </w:rPr>
              <w:t>若无相关情况，可填写“无”</w:t>
            </w:r>
            <w:r>
              <w:rPr>
                <w:rFonts w:hint="default" w:ascii="Times New Roman" w:hAnsi="Times New Roman" w:cs="Times New Roman"/>
                <w:b w:val="0"/>
                <w:bCs w:val="0"/>
                <w:color w:val="0000FF"/>
                <w:sz w:val="21"/>
                <w:szCs w:val="21"/>
                <w:highlight w:val="none"/>
                <w:lang w:val="en-US" w:eastAsia="zh-CN"/>
              </w:rPr>
              <w:t>）</w:t>
            </w:r>
          </w:p>
        </w:tc>
        <w:tc>
          <w:tcPr>
            <w:tcW w:w="1143" w:type="pct"/>
            <w:gridSpan w:val="2"/>
            <w:tcBorders>
              <w:top w:val="single" w:color="auto" w:sz="4" w:space="0"/>
              <w:left w:val="single" w:color="auto" w:sz="4" w:space="0"/>
              <w:bottom w:val="single" w:color="auto" w:sz="4" w:space="0"/>
              <w:right w:val="single" w:color="auto" w:sz="4" w:space="0"/>
            </w:tcBorders>
            <w:noWrap w:val="0"/>
            <w:vAlign w:val="center"/>
          </w:tcPr>
          <w:p w14:paraId="60F2D1CF">
            <w:pPr>
              <w:jc w:val="center"/>
              <w:rPr>
                <w:rFonts w:hint="default" w:ascii="Times New Roman" w:hAnsi="Times New Roman" w:eastAsia="宋体" w:cs="Times New Roman"/>
                <w:color w:val="auto"/>
                <w:sz w:val="21"/>
                <w:szCs w:val="21"/>
                <w:highlight w:val="none"/>
                <w:vertAlign w:val="baseline"/>
                <w:lang w:val="en-US" w:eastAsia="zh-CN"/>
              </w:rPr>
            </w:pPr>
          </w:p>
        </w:tc>
        <w:tc>
          <w:tcPr>
            <w:tcW w:w="2349" w:type="pct"/>
            <w:gridSpan w:val="3"/>
            <w:tcBorders>
              <w:top w:val="single" w:color="auto" w:sz="4" w:space="0"/>
              <w:left w:val="single" w:color="auto" w:sz="4" w:space="0"/>
              <w:bottom w:val="single" w:color="auto" w:sz="4" w:space="0"/>
              <w:right w:val="single" w:color="auto" w:sz="4" w:space="0"/>
            </w:tcBorders>
            <w:noWrap w:val="0"/>
            <w:vAlign w:val="center"/>
          </w:tcPr>
          <w:p w14:paraId="57C0FCE8">
            <w:pPr>
              <w:snapToGrid w:val="0"/>
              <w:jc w:val="left"/>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sz w:val="21"/>
                <w:szCs w:val="21"/>
                <w:highlight w:val="none"/>
                <w:vertAlign w:val="baseline"/>
                <w:lang w:val="en-US" w:eastAsia="zh-CN"/>
              </w:rPr>
              <w:t>指对投标（响应）供应商不具有出资持股关系，但对其存在管理关系的主体。</w:t>
            </w:r>
          </w:p>
        </w:tc>
      </w:tr>
      <w:tr w14:paraId="14794E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7" w:hRule="atLeast"/>
          <w:jc w:val="center"/>
        </w:trPr>
        <w:tc>
          <w:tcPr>
            <w:tcW w:w="5000" w:type="pct"/>
            <w:gridSpan w:val="8"/>
            <w:tcBorders>
              <w:top w:val="single" w:color="auto" w:sz="4" w:space="0"/>
              <w:left w:val="single" w:color="auto" w:sz="4" w:space="0"/>
              <w:bottom w:val="single" w:color="auto" w:sz="4" w:space="0"/>
              <w:right w:val="single" w:color="auto" w:sz="4" w:space="0"/>
            </w:tcBorders>
            <w:noWrap w:val="0"/>
            <w:vAlign w:val="center"/>
          </w:tcPr>
          <w:p w14:paraId="2C7EEC10">
            <w:pPr>
              <w:snapToGrid w:val="0"/>
              <w:jc w:val="left"/>
              <w:rPr>
                <w:rFonts w:hint="default" w:ascii="Times New Roman" w:hAnsi="Times New Roman" w:eastAsia="宋体" w:cs="Times New Roman"/>
                <w:b/>
                <w:bCs/>
                <w:color w:val="FF0000"/>
                <w:sz w:val="21"/>
                <w:szCs w:val="21"/>
                <w:highlight w:val="none"/>
                <w:vertAlign w:val="baseline"/>
                <w:lang w:val="en-US" w:eastAsia="zh-CN"/>
              </w:rPr>
            </w:pPr>
            <w:r>
              <w:rPr>
                <w:rFonts w:hint="default" w:ascii="Times New Roman" w:hAnsi="Times New Roman" w:eastAsia="宋体" w:cs="Times New Roman"/>
                <w:b/>
                <w:bCs/>
                <w:color w:val="FF0000"/>
                <w:sz w:val="21"/>
                <w:szCs w:val="21"/>
                <w:highlight w:val="none"/>
                <w:vertAlign w:val="baseline"/>
                <w:lang w:val="en-US" w:eastAsia="zh-CN"/>
              </w:rPr>
              <w:t>说明：</w:t>
            </w:r>
            <w:r>
              <w:rPr>
                <w:rFonts w:hint="default" w:ascii="Times New Roman" w:hAnsi="Times New Roman" w:eastAsia="宋体" w:cs="Times New Roman"/>
                <w:b/>
                <w:bCs/>
                <w:color w:val="FF0000"/>
                <w:sz w:val="21"/>
                <w:szCs w:val="21"/>
                <w:highlight w:val="none"/>
                <w:vertAlign w:val="baseline"/>
                <w:lang w:val="en-US" w:eastAsia="zh-CN"/>
              </w:rPr>
              <w:br w:type="textWrapping"/>
            </w:r>
            <w:r>
              <w:rPr>
                <w:rFonts w:hint="default" w:ascii="Times New Roman" w:hAnsi="Times New Roman" w:eastAsia="宋体" w:cs="Times New Roman"/>
                <w:b/>
                <w:bCs/>
                <w:color w:val="FF0000"/>
                <w:sz w:val="21"/>
                <w:szCs w:val="21"/>
                <w:highlight w:val="none"/>
                <w:vertAlign w:val="baseline"/>
                <w:lang w:val="en-US" w:eastAsia="zh-CN"/>
              </w:rPr>
              <w:t>1.同一关联关系类型有多个主体的，应分行填写。</w:t>
            </w:r>
          </w:p>
          <w:p w14:paraId="32A35309">
            <w:pPr>
              <w:snapToGrid w:val="0"/>
              <w:jc w:val="left"/>
              <w:rPr>
                <w:rFonts w:hint="default" w:ascii="Times New Roman" w:hAnsi="Times New Roman" w:eastAsia="宋体" w:cs="Times New Roman"/>
                <w:b/>
                <w:bCs/>
                <w:color w:val="FF0000"/>
                <w:sz w:val="21"/>
                <w:szCs w:val="21"/>
                <w:highlight w:val="none"/>
                <w:vertAlign w:val="baseline"/>
                <w:lang w:val="en-US" w:eastAsia="zh-CN"/>
              </w:rPr>
            </w:pPr>
            <w:r>
              <w:rPr>
                <w:rFonts w:hint="default" w:ascii="Times New Roman" w:hAnsi="Times New Roman" w:cs="Times New Roman"/>
                <w:b/>
                <w:bCs/>
                <w:color w:val="FF0000"/>
                <w:sz w:val="21"/>
                <w:szCs w:val="21"/>
                <w:highlight w:val="none"/>
                <w:vertAlign w:val="baseline"/>
                <w:lang w:val="en-US" w:eastAsia="zh-CN"/>
              </w:rPr>
              <w:t>2.</w:t>
            </w:r>
            <w:r>
              <w:rPr>
                <w:rFonts w:hint="default" w:ascii="Times New Roman" w:hAnsi="Times New Roman" w:eastAsia="宋体" w:cs="Times New Roman"/>
                <w:b/>
                <w:bCs/>
                <w:color w:val="FF0000"/>
                <w:sz w:val="21"/>
                <w:szCs w:val="21"/>
                <w:highlight w:val="none"/>
                <w:vertAlign w:val="baseline"/>
                <w:lang w:val="en-US" w:eastAsia="zh-CN"/>
              </w:rPr>
              <w:t>《供应商基本情况表》为必填内容</w:t>
            </w:r>
            <w:r>
              <w:rPr>
                <w:rFonts w:hint="default" w:ascii="Times New Roman" w:hAnsi="Times New Roman" w:cs="Times New Roman"/>
                <w:b/>
                <w:bCs/>
                <w:color w:val="FF0000"/>
                <w:sz w:val="21"/>
                <w:szCs w:val="21"/>
                <w:highlight w:val="none"/>
                <w:vertAlign w:val="baseline"/>
                <w:lang w:val="en-US" w:eastAsia="zh-CN"/>
              </w:rPr>
              <w:t>，应如实填写；若无相关情况，可填写“无”。</w:t>
            </w:r>
            <w:r>
              <w:rPr>
                <w:rFonts w:hint="default" w:ascii="Times New Roman" w:hAnsi="Times New Roman" w:eastAsia="宋体" w:cs="Times New Roman"/>
                <w:b/>
                <w:bCs/>
                <w:color w:val="FF0000"/>
                <w:sz w:val="21"/>
                <w:szCs w:val="21"/>
                <w:highlight w:val="none"/>
                <w:vertAlign w:val="baseline"/>
                <w:lang w:val="en-US" w:eastAsia="zh-CN"/>
              </w:rPr>
              <w:t>若存在异常且不符合资质要求的供应商，资格性审查将不予通过，作投标无效处理。</w:t>
            </w:r>
          </w:p>
          <w:p w14:paraId="371E75B9">
            <w:pPr>
              <w:snapToGrid w:val="0"/>
              <w:jc w:val="left"/>
              <w:rPr>
                <w:rFonts w:hint="default" w:ascii="Times New Roman" w:hAnsi="Times New Roman" w:eastAsia="宋体" w:cs="Times New Roman"/>
                <w:b/>
                <w:bCs/>
                <w:color w:val="FF0000"/>
                <w:sz w:val="21"/>
                <w:szCs w:val="21"/>
                <w:highlight w:val="none"/>
                <w:vertAlign w:val="baseline"/>
                <w:lang w:val="en-US" w:eastAsia="zh-CN"/>
              </w:rPr>
            </w:pPr>
            <w:r>
              <w:rPr>
                <w:rFonts w:hint="default" w:ascii="Times New Roman" w:hAnsi="Times New Roman" w:eastAsia="宋体" w:cs="Times New Roman"/>
                <w:b/>
                <w:bCs/>
                <w:color w:val="FF0000"/>
                <w:sz w:val="21"/>
                <w:szCs w:val="21"/>
                <w:highlight w:val="none"/>
                <w:vertAlign w:val="baseline"/>
                <w:lang w:val="en-US" w:eastAsia="zh-CN"/>
              </w:rPr>
              <w:t>3.相关法律法规</w:t>
            </w:r>
            <w:r>
              <w:rPr>
                <w:rFonts w:hint="default" w:ascii="Times New Roman" w:hAnsi="Times New Roman" w:cs="Times New Roman"/>
                <w:b/>
                <w:bCs/>
                <w:color w:val="FF0000"/>
                <w:sz w:val="21"/>
                <w:szCs w:val="21"/>
                <w:highlight w:val="none"/>
                <w:vertAlign w:val="baseline"/>
                <w:lang w:val="en-US" w:eastAsia="zh-CN"/>
              </w:rPr>
              <w:t>原文</w:t>
            </w:r>
            <w:r>
              <w:rPr>
                <w:rFonts w:hint="default" w:ascii="Times New Roman" w:hAnsi="Times New Roman" w:eastAsia="宋体" w:cs="Times New Roman"/>
                <w:b/>
                <w:bCs/>
                <w:color w:val="FF0000"/>
                <w:sz w:val="21"/>
                <w:szCs w:val="21"/>
                <w:highlight w:val="none"/>
                <w:vertAlign w:val="baseline"/>
                <w:lang w:val="en-US" w:eastAsia="zh-CN"/>
              </w:rPr>
              <w:t>：不同供应商的法定代表人、主要经营负责人、项目投标授权代表人、项目负责人、主要技术人员不得为同一人、属同一单位或者在同一单位缴纳社会保险；不同投标供应商的投标文件不得由同一单位或者同一人编制；单位负责人为同一人或者存在直接控股、管理关系的不同供应商，不得参加本项目政府采购活动。</w:t>
            </w:r>
          </w:p>
          <w:p w14:paraId="6F71CED3">
            <w:pPr>
              <w:numPr>
                <w:ilvl w:val="0"/>
                <w:numId w:val="0"/>
              </w:numPr>
              <w:snapToGrid w:val="0"/>
              <w:jc w:val="left"/>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b/>
                <w:bCs/>
                <w:color w:val="FF0000"/>
                <w:sz w:val="21"/>
                <w:szCs w:val="21"/>
                <w:highlight w:val="none"/>
                <w:vertAlign w:val="baseline"/>
                <w:lang w:val="en-US" w:eastAsia="zh-CN"/>
              </w:rPr>
              <w:t>4.相关法律法规</w:t>
            </w:r>
            <w:r>
              <w:rPr>
                <w:rFonts w:hint="default" w:ascii="Times New Roman" w:hAnsi="Times New Roman" w:cs="Times New Roman"/>
                <w:b/>
                <w:bCs/>
                <w:color w:val="FF0000"/>
                <w:sz w:val="21"/>
                <w:szCs w:val="21"/>
                <w:highlight w:val="none"/>
                <w:vertAlign w:val="baseline"/>
                <w:lang w:val="en-US" w:eastAsia="zh-CN"/>
              </w:rPr>
              <w:t>原文</w:t>
            </w:r>
            <w:r>
              <w:rPr>
                <w:rFonts w:hint="default" w:ascii="Times New Roman" w:hAnsi="Times New Roman" w:eastAsia="宋体" w:cs="Times New Roman"/>
                <w:b/>
                <w:bCs/>
                <w:color w:val="FF0000"/>
                <w:sz w:val="21"/>
                <w:szCs w:val="21"/>
                <w:highlight w:val="none"/>
                <w:vertAlign w:val="baseline"/>
                <w:lang w:val="en-US" w:eastAsia="zh-CN"/>
              </w:rPr>
              <w:t>：《深圳经济特区政府采购条例实施细则》第八十一条 供应商有下列情形之一的，</w:t>
            </w:r>
            <w:r>
              <w:rPr>
                <w:rFonts w:hint="default" w:ascii="Times New Roman" w:hAnsi="Times New Roman" w:eastAsia="宋体" w:cs="Times New Roman"/>
                <w:b/>
                <w:bCs/>
                <w:color w:val="FF0000"/>
                <w:sz w:val="21"/>
                <w:szCs w:val="21"/>
                <w:highlight w:val="yellow"/>
                <w:vertAlign w:val="baseline"/>
                <w:lang w:val="en-US" w:eastAsia="zh-CN"/>
              </w:rPr>
              <w:t>属于隐瞒真实情况，提供虚假资料，</w:t>
            </w:r>
            <w:r>
              <w:rPr>
                <w:rFonts w:hint="default" w:ascii="Times New Roman" w:hAnsi="Times New Roman" w:eastAsia="宋体" w:cs="Times New Roman"/>
                <w:b/>
                <w:bCs/>
                <w:color w:val="FF0000"/>
                <w:sz w:val="21"/>
                <w:szCs w:val="21"/>
                <w:highlight w:val="none"/>
                <w:vertAlign w:val="baseline"/>
                <w:lang w:val="en-US" w:eastAsia="zh-CN"/>
              </w:rPr>
              <w:t>按照采购条例第五十七条的有关规定处理：</w:t>
            </w:r>
            <w:r>
              <w:rPr>
                <w:rFonts w:hint="default" w:ascii="Times New Roman" w:hAnsi="Times New Roman" w:eastAsia="宋体" w:cs="Times New Roman"/>
                <w:b/>
                <w:bCs/>
                <w:color w:val="FF0000"/>
                <w:sz w:val="21"/>
                <w:szCs w:val="21"/>
                <w:highlight w:val="yellow"/>
                <w:vertAlign w:val="baseline"/>
                <w:lang w:val="en-US" w:eastAsia="zh-CN"/>
              </w:rPr>
              <w:t>（三）项目负责人或者主要技术人员不是本单位人员的。</w:t>
            </w:r>
            <w:r>
              <w:rPr>
                <w:rFonts w:hint="default" w:ascii="Times New Roman" w:hAnsi="Times New Roman" w:eastAsia="宋体" w:cs="Times New Roman"/>
                <w:b/>
                <w:bCs/>
                <w:color w:val="FF0000"/>
                <w:sz w:val="21"/>
                <w:szCs w:val="21"/>
                <w:highlight w:val="none"/>
                <w:vertAlign w:val="baseline"/>
                <w:lang w:val="en-US" w:eastAsia="zh-CN"/>
              </w:rPr>
              <w:t>投标供应商不能提供项目负责人或者主要技术人员的劳动合同、社会保险等劳动关系证明材料的</w:t>
            </w:r>
            <w:r>
              <w:rPr>
                <w:rFonts w:hint="default" w:ascii="Times New Roman" w:hAnsi="Times New Roman" w:cs="Times New Roman"/>
                <w:b/>
                <w:bCs/>
                <w:color w:val="FF0000"/>
                <w:sz w:val="21"/>
                <w:szCs w:val="21"/>
                <w:highlight w:val="none"/>
                <w:vertAlign w:val="baseline"/>
                <w:lang w:val="en-US" w:eastAsia="zh-CN"/>
              </w:rPr>
              <w:t>（</w:t>
            </w:r>
            <w:r>
              <w:rPr>
                <w:rFonts w:hint="eastAsia" w:cs="Times New Roman"/>
                <w:b/>
                <w:bCs/>
                <w:color w:val="FF0000"/>
                <w:sz w:val="21"/>
                <w:szCs w:val="21"/>
                <w:highlight w:val="none"/>
                <w:vertAlign w:val="baseline"/>
                <w:lang w:val="en-US" w:eastAsia="zh-CN"/>
              </w:rPr>
              <w:t>社会保险不提供泽做废标处理</w:t>
            </w:r>
            <w:r>
              <w:rPr>
                <w:rFonts w:hint="default" w:ascii="Times New Roman" w:hAnsi="Times New Roman" w:cs="Times New Roman"/>
                <w:b/>
                <w:bCs/>
                <w:color w:val="FF0000"/>
                <w:sz w:val="21"/>
                <w:szCs w:val="21"/>
                <w:highlight w:val="none"/>
                <w:vertAlign w:val="baseline"/>
                <w:lang w:val="en-US" w:eastAsia="zh-CN"/>
              </w:rPr>
              <w:t>）</w:t>
            </w:r>
            <w:r>
              <w:rPr>
                <w:rFonts w:hint="default" w:ascii="Times New Roman" w:hAnsi="Times New Roman" w:eastAsia="宋体" w:cs="Times New Roman"/>
                <w:b/>
                <w:bCs/>
                <w:color w:val="FF0000"/>
                <w:sz w:val="21"/>
                <w:szCs w:val="21"/>
                <w:highlight w:val="none"/>
                <w:vertAlign w:val="baseline"/>
                <w:lang w:val="en-US" w:eastAsia="zh-CN"/>
              </w:rPr>
              <w:t>，视为存在前款第（三）项规定的情形。</w:t>
            </w:r>
          </w:p>
        </w:tc>
      </w:tr>
    </w:tbl>
    <w:p w14:paraId="593F30B1">
      <w:pPr>
        <w:pageBreakBefore w:val="0"/>
        <w:kinsoku/>
        <w:overflowPunct/>
        <w:topLinePunct w:val="0"/>
        <w:autoSpaceDE/>
        <w:autoSpaceDN/>
        <w:bidi w:val="0"/>
        <w:spacing w:before="0" w:beforeAutospacing="0" w:after="0" w:afterAutospacing="0" w:line="360" w:lineRule="auto"/>
        <w:ind w:left="0" w:leftChars="0" w:right="0" w:firstLine="0" w:firstLineChars="0"/>
        <w:jc w:val="left"/>
        <w:outlineLvl w:val="9"/>
        <w:rPr>
          <w:rFonts w:hint="default" w:ascii="Times New Roman" w:hAnsi="Times New Roman" w:cs="Times New Roman"/>
          <w:b/>
          <w:bCs/>
          <w:color w:val="FF0000"/>
          <w:sz w:val="24"/>
          <w:szCs w:val="24"/>
          <w:highlight w:val="none"/>
          <w:u w:val="single"/>
          <w:lang w:val="en-US" w:eastAsia="zh-CN"/>
        </w:rPr>
      </w:pPr>
      <w:r>
        <w:rPr>
          <w:rFonts w:hint="default" w:ascii="Times New Roman" w:hAnsi="Times New Roman" w:cs="Times New Roman"/>
          <w:b/>
          <w:bCs/>
          <w:color w:val="FF0000"/>
          <w:sz w:val="24"/>
          <w:szCs w:val="24"/>
          <w:highlight w:val="yellow"/>
          <w:u w:val="none"/>
          <w:lang w:val="en-US" w:eastAsia="zh-CN"/>
        </w:rPr>
        <w:t xml:space="preserve">  </w:t>
      </w:r>
    </w:p>
    <w:p w14:paraId="7F389E4D">
      <w:pPr>
        <w:pageBreakBefore w:val="0"/>
        <w:kinsoku/>
        <w:overflowPunct/>
        <w:topLinePunct w:val="0"/>
        <w:autoSpaceDE/>
        <w:autoSpaceDN/>
        <w:bidi w:val="0"/>
        <w:spacing w:before="0" w:beforeAutospacing="0" w:after="0" w:afterAutospacing="0" w:line="360" w:lineRule="auto"/>
        <w:ind w:left="0" w:leftChars="0" w:right="0" w:firstLine="0" w:firstLineChars="0"/>
        <w:jc w:val="left"/>
        <w:outlineLvl w:val="9"/>
        <w:rPr>
          <w:rFonts w:hint="default" w:ascii="Times New Roman" w:hAnsi="Times New Roman" w:cs="Times New Roman"/>
          <w:b/>
          <w:bCs/>
          <w:color w:val="FF0000"/>
          <w:sz w:val="24"/>
          <w:szCs w:val="24"/>
          <w:highlight w:val="none"/>
          <w:u w:val="single"/>
          <w:lang w:val="en-US" w:eastAsia="zh-CN"/>
        </w:rPr>
      </w:pPr>
    </w:p>
    <w:p w14:paraId="71876AA1">
      <w:pPr>
        <w:pStyle w:val="5"/>
        <w:pageBreakBefore w:val="0"/>
        <w:kinsoku/>
        <w:overflowPunct/>
        <w:topLinePunct w:val="0"/>
        <w:autoSpaceDE/>
        <w:autoSpaceDN/>
        <w:bidi w:val="0"/>
        <w:spacing w:before="0" w:beforeAutospacing="0" w:after="0" w:afterAutospacing="0" w:line="360" w:lineRule="auto"/>
        <w:ind w:left="0" w:leftChars="0" w:right="0" w:firstLine="0" w:firstLineChars="0"/>
        <w:jc w:val="center"/>
        <w:rPr>
          <w:rFonts w:hint="default" w:ascii="Times New Roman" w:hAnsi="Times New Roman" w:eastAsia="宋体" w:cs="Times New Roman"/>
          <w:b/>
          <w:bCs w:val="0"/>
          <w:sz w:val="32"/>
          <w:szCs w:val="32"/>
          <w:highlight w:val="none"/>
          <w:lang w:val="en-US" w:eastAsia="zh-CN"/>
        </w:rPr>
      </w:pPr>
      <w:r>
        <w:rPr>
          <w:rFonts w:hint="default" w:ascii="Times New Roman" w:hAnsi="Times New Roman" w:eastAsia="宋体" w:cs="Times New Roman"/>
          <w:b/>
          <w:bCs w:val="0"/>
          <w:sz w:val="32"/>
          <w:szCs w:val="32"/>
          <w:highlight w:val="none"/>
          <w:lang w:val="en-US" w:eastAsia="zh-CN"/>
        </w:rPr>
        <w:t>四、警示情形自查确认表</w:t>
      </w:r>
    </w:p>
    <w:p w14:paraId="6CB58874">
      <w:pPr>
        <w:pStyle w:val="19"/>
        <w:keepNext w:val="0"/>
        <w:keepLines w:val="0"/>
        <w:pageBreakBefore w:val="0"/>
        <w:widowControl/>
        <w:kinsoku w:val="0"/>
        <w:wordWrap w:val="0"/>
        <w:overflowPunct/>
        <w:topLinePunct w:val="0"/>
        <w:autoSpaceDE w:val="0"/>
        <w:autoSpaceDN w:val="0"/>
        <w:bidi w:val="0"/>
        <w:adjustRightInd w:val="0"/>
        <w:snapToGrid w:val="0"/>
        <w:spacing w:line="245" w:lineRule="auto"/>
        <w:textAlignment w:val="baseline"/>
        <w:rPr>
          <w:rFonts w:hint="default" w:ascii="Times New Roman" w:hAnsi="Times New Roman" w:cs="Times New Roman"/>
        </w:rPr>
      </w:pPr>
    </w:p>
    <w:p w14:paraId="0CE92A44">
      <w:pPr>
        <w:pageBreakBefore w:val="0"/>
        <w:kinsoku/>
        <w:overflowPunct/>
        <w:topLinePunct w:val="0"/>
        <w:autoSpaceDE/>
        <w:autoSpaceDN/>
        <w:bidi w:val="0"/>
        <w:spacing w:before="0" w:beforeAutospacing="0" w:after="0" w:afterAutospacing="0" w:line="360" w:lineRule="auto"/>
        <w:ind w:left="0" w:leftChars="0" w:right="0" w:firstLine="0" w:firstLineChars="0"/>
        <w:jc w:val="center"/>
        <w:outlineLvl w:val="9"/>
        <w:rPr>
          <w:rFonts w:hint="default" w:ascii="Times New Roman" w:hAnsi="Times New Roman" w:eastAsia="宋体" w:cs="Times New Roman"/>
          <w:b/>
          <w:bCs w:val="0"/>
          <w:sz w:val="32"/>
          <w:szCs w:val="32"/>
          <w:highlight w:val="none"/>
          <w:lang w:val="en-US" w:eastAsia="zh-CN"/>
        </w:rPr>
      </w:pPr>
      <w:r>
        <w:rPr>
          <w:rFonts w:hint="default" w:ascii="Times New Roman" w:hAnsi="Times New Roman" w:eastAsia="宋体" w:cs="Times New Roman"/>
          <w:b/>
          <w:bCs w:val="0"/>
          <w:sz w:val="32"/>
          <w:szCs w:val="32"/>
          <w:highlight w:val="none"/>
          <w:lang w:val="en-US" w:eastAsia="zh-CN"/>
        </w:rPr>
        <w:t>警示情形自查确认表</w:t>
      </w:r>
      <w:r>
        <w:rPr>
          <w:rFonts w:hint="default" w:ascii="Times New Roman" w:hAnsi="Times New Roman" w:eastAsia="宋体" w:cs="Times New Roman"/>
          <w:b/>
          <w:bCs w:val="0"/>
          <w:sz w:val="24"/>
          <w:szCs w:val="24"/>
          <w:highlight w:val="none"/>
          <w:lang w:val="en-US" w:eastAsia="zh-CN"/>
        </w:rPr>
        <w:t>（仅作为警示提醒）</w:t>
      </w:r>
    </w:p>
    <w:tbl>
      <w:tblPr>
        <w:tblStyle w:val="45"/>
        <w:tblW w:w="8531" w:type="dxa"/>
        <w:tblInd w:w="-35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43"/>
        <w:gridCol w:w="637"/>
        <w:gridCol w:w="5598"/>
        <w:gridCol w:w="1553"/>
      </w:tblGrid>
      <w:tr w14:paraId="796D4B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3" w:hRule="atLeast"/>
        </w:trPr>
        <w:tc>
          <w:tcPr>
            <w:tcW w:w="743" w:type="dxa"/>
            <w:tcBorders>
              <w:tl2br w:val="nil"/>
              <w:tr2bl w:val="nil"/>
            </w:tcBorders>
            <w:noWrap/>
            <w:vAlign w:val="center"/>
          </w:tcPr>
          <w:p w14:paraId="0FC5EAE4">
            <w:pPr>
              <w:jc w:val="center"/>
              <w:rPr>
                <w:rFonts w:hint="default" w:ascii="Times New Roman" w:hAnsi="Times New Roman" w:cs="Times New Roman"/>
                <w:b/>
                <w:bCs/>
              </w:rPr>
            </w:pPr>
            <w:r>
              <w:rPr>
                <w:rFonts w:hint="default" w:ascii="Times New Roman" w:hAnsi="Times New Roman" w:cs="Times New Roman"/>
                <w:b/>
                <w:bCs/>
                <w:lang w:val="en-US" w:eastAsia="zh-CN"/>
              </w:rPr>
              <w:t>序号</w:t>
            </w:r>
          </w:p>
        </w:tc>
        <w:tc>
          <w:tcPr>
            <w:tcW w:w="637" w:type="dxa"/>
            <w:tcBorders>
              <w:tl2br w:val="nil"/>
              <w:tr2bl w:val="nil"/>
            </w:tcBorders>
            <w:noWrap/>
            <w:vAlign w:val="center"/>
          </w:tcPr>
          <w:p w14:paraId="03FD98EE">
            <w:pPr>
              <w:jc w:val="center"/>
              <w:rPr>
                <w:rFonts w:hint="default" w:ascii="Times New Roman" w:hAnsi="Times New Roman" w:cs="Times New Roman"/>
                <w:b/>
                <w:bCs/>
              </w:rPr>
            </w:pPr>
            <w:r>
              <w:rPr>
                <w:rFonts w:hint="default" w:ascii="Times New Roman" w:hAnsi="Times New Roman" w:cs="Times New Roman"/>
                <w:b/>
                <w:bCs/>
                <w:lang w:val="en-US" w:eastAsia="zh-CN"/>
              </w:rPr>
              <w:t>类别</w:t>
            </w:r>
          </w:p>
        </w:tc>
        <w:tc>
          <w:tcPr>
            <w:tcW w:w="5598" w:type="dxa"/>
            <w:tcBorders>
              <w:tl2br w:val="nil"/>
              <w:tr2bl w:val="nil"/>
            </w:tcBorders>
            <w:noWrap w:val="0"/>
            <w:vAlign w:val="center"/>
          </w:tcPr>
          <w:p w14:paraId="3DF46861">
            <w:pPr>
              <w:jc w:val="center"/>
              <w:rPr>
                <w:rFonts w:hint="default" w:ascii="Times New Roman" w:hAnsi="Times New Roman" w:cs="Times New Roman"/>
                <w:b/>
                <w:bCs/>
              </w:rPr>
            </w:pPr>
            <w:r>
              <w:rPr>
                <w:rFonts w:hint="default" w:ascii="Times New Roman" w:hAnsi="Times New Roman" w:cs="Times New Roman"/>
                <w:b/>
                <w:bCs/>
                <w:lang w:val="en-US" w:eastAsia="zh-CN"/>
              </w:rPr>
              <w:t>内容</w:t>
            </w:r>
          </w:p>
        </w:tc>
        <w:tc>
          <w:tcPr>
            <w:tcW w:w="1553" w:type="dxa"/>
            <w:tcBorders>
              <w:tl2br w:val="nil"/>
              <w:tr2bl w:val="nil"/>
            </w:tcBorders>
            <w:noWrap/>
            <w:vAlign w:val="center"/>
          </w:tcPr>
          <w:p w14:paraId="4ABAF9DF">
            <w:pPr>
              <w:jc w:val="center"/>
              <w:rPr>
                <w:rFonts w:hint="default" w:ascii="Times New Roman" w:hAnsi="Times New Roman" w:cs="Times New Roman"/>
                <w:b/>
                <w:bCs/>
              </w:rPr>
            </w:pPr>
            <w:r>
              <w:rPr>
                <w:rFonts w:hint="default" w:ascii="Times New Roman" w:hAnsi="Times New Roman" w:cs="Times New Roman"/>
                <w:b/>
                <w:bCs/>
                <w:lang w:val="en-US" w:eastAsia="zh-CN"/>
              </w:rPr>
              <w:t>选项</w:t>
            </w:r>
          </w:p>
        </w:tc>
      </w:tr>
      <w:tr w14:paraId="06FFCB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15" w:hRule="atLeast"/>
        </w:trPr>
        <w:tc>
          <w:tcPr>
            <w:tcW w:w="743" w:type="dxa"/>
            <w:tcBorders>
              <w:tl2br w:val="nil"/>
              <w:tr2bl w:val="nil"/>
            </w:tcBorders>
            <w:noWrap/>
            <w:vAlign w:val="center"/>
          </w:tcPr>
          <w:p w14:paraId="690F4821">
            <w:pPr>
              <w:jc w:val="center"/>
              <w:rPr>
                <w:rFonts w:hint="default" w:ascii="Times New Roman" w:hAnsi="Times New Roman" w:cs="Times New Roman"/>
              </w:rPr>
            </w:pPr>
            <w:r>
              <w:rPr>
                <w:rFonts w:hint="default" w:ascii="Times New Roman" w:hAnsi="Times New Roman" w:cs="Times New Roman"/>
                <w:lang w:val="en-US" w:eastAsia="zh-CN"/>
              </w:rPr>
              <w:t>1</w:t>
            </w:r>
          </w:p>
        </w:tc>
        <w:tc>
          <w:tcPr>
            <w:tcW w:w="637" w:type="dxa"/>
            <w:vMerge w:val="restart"/>
            <w:tcBorders>
              <w:tl2br w:val="nil"/>
              <w:tr2bl w:val="nil"/>
            </w:tcBorders>
            <w:noWrap w:val="0"/>
            <w:vAlign w:val="center"/>
          </w:tcPr>
          <w:p w14:paraId="43579786">
            <w:pPr>
              <w:rPr>
                <w:rFonts w:hint="default" w:ascii="Times New Roman" w:hAnsi="Times New Roman" w:cs="Times New Roman"/>
              </w:rPr>
            </w:pPr>
            <w:r>
              <w:rPr>
                <w:rFonts w:hint="default" w:ascii="Times New Roman" w:hAnsi="Times New Roman" w:cs="Times New Roman"/>
                <w:lang w:val="en-US" w:eastAsia="zh-CN"/>
              </w:rPr>
              <w:t>串通投标</w:t>
            </w:r>
          </w:p>
        </w:tc>
        <w:tc>
          <w:tcPr>
            <w:tcW w:w="5598" w:type="dxa"/>
            <w:tcBorders>
              <w:tl2br w:val="nil"/>
              <w:tr2bl w:val="nil"/>
            </w:tcBorders>
            <w:noWrap w:val="0"/>
            <w:vAlign w:val="center"/>
          </w:tcPr>
          <w:p w14:paraId="7E0461A4">
            <w:pPr>
              <w:rPr>
                <w:rFonts w:hint="default" w:ascii="Times New Roman" w:hAnsi="Times New Roman" w:cs="Times New Roman"/>
              </w:rPr>
            </w:pPr>
            <w:r>
              <w:rPr>
                <w:rFonts w:hint="default" w:ascii="Times New Roman" w:hAnsi="Times New Roman" w:cs="Times New Roman"/>
                <w:lang w:val="en-US" w:eastAsia="zh-CN"/>
              </w:rPr>
              <w:t>我单位不存在与其他投标供应商的法定代表人、主要经营负责人、项目投标授权代表人、项目负责人、主要技术人员为同一人、属同一单位或者在同一单位缴纳社会保险的“串通投标”违法行为。</w:t>
            </w:r>
          </w:p>
        </w:tc>
        <w:tc>
          <w:tcPr>
            <w:tcW w:w="1553" w:type="dxa"/>
            <w:tcBorders>
              <w:tl2br w:val="nil"/>
              <w:tr2bl w:val="nil"/>
            </w:tcBorders>
            <w:noWrap/>
            <w:vAlign w:val="center"/>
          </w:tcPr>
          <w:p w14:paraId="3A78FF8E">
            <w:pPr>
              <w:jc w:val="center"/>
              <w:rPr>
                <w:rFonts w:hint="default" w:ascii="Times New Roman" w:hAnsi="Times New Roman" w:cs="Times New Roman"/>
                <w:lang w:eastAsia="zh-CN"/>
              </w:rPr>
            </w:pPr>
            <w:r>
              <w:rPr>
                <w:rFonts w:hint="default" w:ascii="Times New Roman" w:hAnsi="Times New Roman" w:cs="Times New Roman"/>
                <w:lang w:val="en-US" w:eastAsia="zh-CN"/>
              </w:rPr>
              <w:sym w:font="Wingdings" w:char="00A8"/>
            </w:r>
            <w:r>
              <w:rPr>
                <w:rFonts w:hint="default" w:ascii="Times New Roman" w:hAnsi="Times New Roman" w:cs="Times New Roman"/>
                <w:lang w:val="en-US" w:eastAsia="zh-CN"/>
              </w:rPr>
              <w:t>是；</w:t>
            </w:r>
            <w:r>
              <w:rPr>
                <w:rFonts w:hint="default" w:ascii="Times New Roman" w:hAnsi="Times New Roman" w:cs="Times New Roman"/>
                <w:lang w:val="en-US" w:eastAsia="zh-CN"/>
              </w:rPr>
              <w:sym w:font="Wingdings" w:char="00A8"/>
            </w:r>
            <w:r>
              <w:rPr>
                <w:rFonts w:hint="default" w:ascii="Times New Roman" w:hAnsi="Times New Roman" w:cs="Times New Roman"/>
                <w:lang w:eastAsia="zh-CN"/>
              </w:rPr>
              <w:t>否</w:t>
            </w:r>
          </w:p>
        </w:tc>
      </w:tr>
      <w:tr w14:paraId="306683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3" w:hRule="atLeast"/>
        </w:trPr>
        <w:tc>
          <w:tcPr>
            <w:tcW w:w="743" w:type="dxa"/>
            <w:tcBorders>
              <w:tl2br w:val="nil"/>
              <w:tr2bl w:val="nil"/>
            </w:tcBorders>
            <w:noWrap/>
            <w:vAlign w:val="center"/>
          </w:tcPr>
          <w:p w14:paraId="3F29938A">
            <w:pPr>
              <w:jc w:val="center"/>
              <w:rPr>
                <w:rFonts w:hint="default" w:ascii="Times New Roman" w:hAnsi="Times New Roman" w:cs="Times New Roman"/>
              </w:rPr>
            </w:pPr>
            <w:r>
              <w:rPr>
                <w:rFonts w:hint="default" w:ascii="Times New Roman" w:hAnsi="Times New Roman" w:cs="Times New Roman"/>
                <w:lang w:val="en-US" w:eastAsia="zh-CN"/>
              </w:rPr>
              <w:t>2</w:t>
            </w:r>
          </w:p>
        </w:tc>
        <w:tc>
          <w:tcPr>
            <w:tcW w:w="637" w:type="dxa"/>
            <w:vMerge w:val="continue"/>
            <w:tcBorders>
              <w:tl2br w:val="nil"/>
              <w:tr2bl w:val="nil"/>
            </w:tcBorders>
            <w:noWrap w:val="0"/>
            <w:vAlign w:val="center"/>
          </w:tcPr>
          <w:p w14:paraId="6EE15B24">
            <w:pPr>
              <w:rPr>
                <w:rFonts w:hint="default" w:ascii="Times New Roman" w:hAnsi="Times New Roman" w:cs="Times New Roman"/>
              </w:rPr>
            </w:pPr>
          </w:p>
        </w:tc>
        <w:tc>
          <w:tcPr>
            <w:tcW w:w="5598" w:type="dxa"/>
            <w:tcBorders>
              <w:tl2br w:val="nil"/>
              <w:tr2bl w:val="nil"/>
            </w:tcBorders>
            <w:noWrap w:val="0"/>
            <w:vAlign w:val="center"/>
          </w:tcPr>
          <w:p w14:paraId="79EC476E">
            <w:pPr>
              <w:rPr>
                <w:rFonts w:hint="default" w:ascii="Times New Roman" w:hAnsi="Times New Roman" w:cs="Times New Roman"/>
              </w:rPr>
            </w:pPr>
            <w:r>
              <w:rPr>
                <w:rFonts w:hint="default" w:ascii="Times New Roman" w:hAnsi="Times New Roman" w:cs="Times New Roman"/>
                <w:lang w:val="en-US" w:eastAsia="zh-CN"/>
              </w:rPr>
              <w:t>我单位不存在与其他投标供应商的投标文件由同一单位或者同一人编制的“串通投标”违法行为。</w:t>
            </w:r>
          </w:p>
        </w:tc>
        <w:tc>
          <w:tcPr>
            <w:tcW w:w="1553" w:type="dxa"/>
            <w:tcBorders>
              <w:tl2br w:val="nil"/>
              <w:tr2bl w:val="nil"/>
            </w:tcBorders>
            <w:noWrap/>
            <w:vAlign w:val="center"/>
          </w:tcPr>
          <w:p w14:paraId="2C9DA232">
            <w:pPr>
              <w:jc w:val="center"/>
              <w:rPr>
                <w:rFonts w:hint="default" w:ascii="Times New Roman" w:hAnsi="Times New Roman" w:cs="Times New Roman"/>
              </w:rPr>
            </w:pPr>
            <w:r>
              <w:rPr>
                <w:rFonts w:hint="default" w:ascii="Times New Roman" w:hAnsi="Times New Roman" w:cs="Times New Roman"/>
                <w:lang w:val="en-US" w:eastAsia="zh-CN"/>
              </w:rPr>
              <w:sym w:font="Wingdings" w:char="00A8"/>
            </w:r>
            <w:r>
              <w:rPr>
                <w:rFonts w:hint="default" w:ascii="Times New Roman" w:hAnsi="Times New Roman" w:cs="Times New Roman"/>
                <w:lang w:val="en-US" w:eastAsia="zh-CN"/>
              </w:rPr>
              <w:t>是；</w:t>
            </w:r>
            <w:r>
              <w:rPr>
                <w:rFonts w:hint="default" w:ascii="Times New Roman" w:hAnsi="Times New Roman" w:cs="Times New Roman"/>
                <w:lang w:val="en-US" w:eastAsia="zh-CN"/>
              </w:rPr>
              <w:sym w:font="Wingdings" w:char="00A8"/>
            </w:r>
            <w:r>
              <w:rPr>
                <w:rFonts w:hint="default" w:ascii="Times New Roman" w:hAnsi="Times New Roman" w:cs="Times New Roman"/>
                <w:lang w:eastAsia="zh-CN"/>
              </w:rPr>
              <w:t>否</w:t>
            </w:r>
          </w:p>
        </w:tc>
      </w:tr>
      <w:tr w14:paraId="4C7B9E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3" w:hRule="atLeast"/>
        </w:trPr>
        <w:tc>
          <w:tcPr>
            <w:tcW w:w="743" w:type="dxa"/>
            <w:tcBorders>
              <w:tl2br w:val="nil"/>
              <w:tr2bl w:val="nil"/>
            </w:tcBorders>
            <w:noWrap/>
            <w:vAlign w:val="center"/>
          </w:tcPr>
          <w:p w14:paraId="677C5CF4">
            <w:pPr>
              <w:jc w:val="center"/>
              <w:rPr>
                <w:rFonts w:hint="default" w:ascii="Times New Roman" w:hAnsi="Times New Roman" w:cs="Times New Roman"/>
              </w:rPr>
            </w:pPr>
            <w:r>
              <w:rPr>
                <w:rFonts w:hint="default" w:ascii="Times New Roman" w:hAnsi="Times New Roman" w:cs="Times New Roman"/>
                <w:lang w:val="en-US" w:eastAsia="zh-CN"/>
              </w:rPr>
              <w:t>3</w:t>
            </w:r>
          </w:p>
        </w:tc>
        <w:tc>
          <w:tcPr>
            <w:tcW w:w="637" w:type="dxa"/>
            <w:vMerge w:val="continue"/>
            <w:tcBorders>
              <w:tl2br w:val="nil"/>
              <w:tr2bl w:val="nil"/>
            </w:tcBorders>
            <w:noWrap w:val="0"/>
            <w:vAlign w:val="center"/>
          </w:tcPr>
          <w:p w14:paraId="4ACC4770">
            <w:pPr>
              <w:rPr>
                <w:rFonts w:hint="default" w:ascii="Times New Roman" w:hAnsi="Times New Roman" w:cs="Times New Roman"/>
              </w:rPr>
            </w:pPr>
          </w:p>
        </w:tc>
        <w:tc>
          <w:tcPr>
            <w:tcW w:w="5598" w:type="dxa"/>
            <w:tcBorders>
              <w:tl2br w:val="nil"/>
              <w:tr2bl w:val="nil"/>
            </w:tcBorders>
            <w:noWrap w:val="0"/>
            <w:vAlign w:val="center"/>
          </w:tcPr>
          <w:p w14:paraId="75C81A64">
            <w:pPr>
              <w:rPr>
                <w:rFonts w:hint="default" w:ascii="Times New Roman" w:hAnsi="Times New Roman" w:cs="Times New Roman"/>
              </w:rPr>
            </w:pPr>
            <w:r>
              <w:rPr>
                <w:rFonts w:hint="default" w:ascii="Times New Roman" w:hAnsi="Times New Roman" w:cs="Times New Roman"/>
                <w:lang w:val="en-US" w:eastAsia="zh-CN"/>
              </w:rPr>
              <w:t>我单位不存在与其他投标供应商的投标文件或部分投标文件相互混装的“串通投标”违法行为。</w:t>
            </w:r>
          </w:p>
        </w:tc>
        <w:tc>
          <w:tcPr>
            <w:tcW w:w="1553" w:type="dxa"/>
            <w:tcBorders>
              <w:tl2br w:val="nil"/>
              <w:tr2bl w:val="nil"/>
            </w:tcBorders>
            <w:noWrap/>
            <w:vAlign w:val="center"/>
          </w:tcPr>
          <w:p w14:paraId="0DE8CE79">
            <w:pPr>
              <w:jc w:val="center"/>
              <w:rPr>
                <w:rFonts w:hint="default" w:ascii="Times New Roman" w:hAnsi="Times New Roman" w:cs="Times New Roman"/>
              </w:rPr>
            </w:pPr>
            <w:r>
              <w:rPr>
                <w:rFonts w:hint="default" w:ascii="Times New Roman" w:hAnsi="Times New Roman" w:cs="Times New Roman"/>
                <w:lang w:val="en-US" w:eastAsia="zh-CN"/>
              </w:rPr>
              <w:sym w:font="Wingdings" w:char="00A8"/>
            </w:r>
            <w:r>
              <w:rPr>
                <w:rFonts w:hint="default" w:ascii="Times New Roman" w:hAnsi="Times New Roman" w:cs="Times New Roman"/>
                <w:lang w:val="en-US" w:eastAsia="zh-CN"/>
              </w:rPr>
              <w:t>是；</w:t>
            </w:r>
            <w:r>
              <w:rPr>
                <w:rFonts w:hint="default" w:ascii="Times New Roman" w:hAnsi="Times New Roman" w:cs="Times New Roman"/>
                <w:lang w:val="en-US" w:eastAsia="zh-CN"/>
              </w:rPr>
              <w:sym w:font="Wingdings" w:char="00A8"/>
            </w:r>
            <w:r>
              <w:rPr>
                <w:rFonts w:hint="default" w:ascii="Times New Roman" w:hAnsi="Times New Roman" w:cs="Times New Roman"/>
                <w:lang w:eastAsia="zh-CN"/>
              </w:rPr>
              <w:t>否</w:t>
            </w:r>
          </w:p>
        </w:tc>
      </w:tr>
      <w:tr w14:paraId="3E322D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3" w:hRule="atLeast"/>
        </w:trPr>
        <w:tc>
          <w:tcPr>
            <w:tcW w:w="743" w:type="dxa"/>
            <w:tcBorders>
              <w:tl2br w:val="nil"/>
              <w:tr2bl w:val="nil"/>
            </w:tcBorders>
            <w:noWrap/>
            <w:vAlign w:val="center"/>
          </w:tcPr>
          <w:p w14:paraId="049F474A">
            <w:pPr>
              <w:jc w:val="center"/>
              <w:rPr>
                <w:rFonts w:hint="default" w:ascii="Times New Roman" w:hAnsi="Times New Roman" w:cs="Times New Roman"/>
              </w:rPr>
            </w:pPr>
            <w:r>
              <w:rPr>
                <w:rFonts w:hint="default" w:ascii="Times New Roman" w:hAnsi="Times New Roman" w:cs="Times New Roman"/>
                <w:lang w:val="en-US" w:eastAsia="zh-CN"/>
              </w:rPr>
              <w:t>4</w:t>
            </w:r>
          </w:p>
        </w:tc>
        <w:tc>
          <w:tcPr>
            <w:tcW w:w="637" w:type="dxa"/>
            <w:vMerge w:val="continue"/>
            <w:tcBorders>
              <w:tl2br w:val="nil"/>
              <w:tr2bl w:val="nil"/>
            </w:tcBorders>
            <w:noWrap w:val="0"/>
            <w:vAlign w:val="center"/>
          </w:tcPr>
          <w:p w14:paraId="2636AE87">
            <w:pPr>
              <w:rPr>
                <w:rFonts w:hint="default" w:ascii="Times New Roman" w:hAnsi="Times New Roman" w:cs="Times New Roman"/>
              </w:rPr>
            </w:pPr>
          </w:p>
        </w:tc>
        <w:tc>
          <w:tcPr>
            <w:tcW w:w="5598" w:type="dxa"/>
            <w:tcBorders>
              <w:tl2br w:val="nil"/>
              <w:tr2bl w:val="nil"/>
            </w:tcBorders>
            <w:noWrap w:val="0"/>
            <w:vAlign w:val="center"/>
          </w:tcPr>
          <w:p w14:paraId="14BDF6DD">
            <w:pPr>
              <w:rPr>
                <w:rFonts w:hint="default" w:ascii="Times New Roman" w:hAnsi="Times New Roman" w:cs="Times New Roman"/>
              </w:rPr>
            </w:pPr>
            <w:r>
              <w:rPr>
                <w:rFonts w:hint="default" w:ascii="Times New Roman" w:hAnsi="Times New Roman" w:cs="Times New Roman"/>
                <w:lang w:val="en-US" w:eastAsia="zh-CN"/>
              </w:rPr>
              <w:t>我单位不存在与其他投标供应商的投标文件内容非正常一致的“串通投标”违法行为。</w:t>
            </w:r>
          </w:p>
        </w:tc>
        <w:tc>
          <w:tcPr>
            <w:tcW w:w="1553" w:type="dxa"/>
            <w:tcBorders>
              <w:tl2br w:val="nil"/>
              <w:tr2bl w:val="nil"/>
            </w:tcBorders>
            <w:noWrap/>
            <w:vAlign w:val="center"/>
          </w:tcPr>
          <w:p w14:paraId="4A2D5811">
            <w:pPr>
              <w:jc w:val="center"/>
              <w:rPr>
                <w:rFonts w:hint="default" w:ascii="Times New Roman" w:hAnsi="Times New Roman" w:cs="Times New Roman"/>
              </w:rPr>
            </w:pPr>
            <w:r>
              <w:rPr>
                <w:rFonts w:hint="default" w:ascii="Times New Roman" w:hAnsi="Times New Roman" w:cs="Times New Roman"/>
                <w:lang w:val="en-US" w:eastAsia="zh-CN"/>
              </w:rPr>
              <w:sym w:font="Wingdings" w:char="00A8"/>
            </w:r>
            <w:r>
              <w:rPr>
                <w:rFonts w:hint="default" w:ascii="Times New Roman" w:hAnsi="Times New Roman" w:cs="Times New Roman"/>
                <w:lang w:val="en-US" w:eastAsia="zh-CN"/>
              </w:rPr>
              <w:t>是；</w:t>
            </w:r>
            <w:r>
              <w:rPr>
                <w:rFonts w:hint="default" w:ascii="Times New Roman" w:hAnsi="Times New Roman" w:cs="Times New Roman"/>
                <w:lang w:val="en-US" w:eastAsia="zh-CN"/>
              </w:rPr>
              <w:sym w:font="Wingdings" w:char="00A8"/>
            </w:r>
            <w:r>
              <w:rPr>
                <w:rFonts w:hint="default" w:ascii="Times New Roman" w:hAnsi="Times New Roman" w:cs="Times New Roman"/>
                <w:lang w:eastAsia="zh-CN"/>
              </w:rPr>
              <w:t>否</w:t>
            </w:r>
          </w:p>
        </w:tc>
      </w:tr>
      <w:tr w14:paraId="294F3A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3" w:hRule="atLeast"/>
        </w:trPr>
        <w:tc>
          <w:tcPr>
            <w:tcW w:w="743" w:type="dxa"/>
            <w:tcBorders>
              <w:tl2br w:val="nil"/>
              <w:tr2bl w:val="nil"/>
            </w:tcBorders>
            <w:noWrap/>
            <w:vAlign w:val="center"/>
          </w:tcPr>
          <w:p w14:paraId="2552E120">
            <w:pPr>
              <w:jc w:val="center"/>
              <w:rPr>
                <w:rFonts w:hint="default" w:ascii="Times New Roman" w:hAnsi="Times New Roman" w:cs="Times New Roman"/>
              </w:rPr>
            </w:pPr>
            <w:r>
              <w:rPr>
                <w:rFonts w:hint="default" w:ascii="Times New Roman" w:hAnsi="Times New Roman" w:cs="Times New Roman"/>
                <w:lang w:val="en-US" w:eastAsia="zh-CN"/>
              </w:rPr>
              <w:t>5</w:t>
            </w:r>
          </w:p>
        </w:tc>
        <w:tc>
          <w:tcPr>
            <w:tcW w:w="637" w:type="dxa"/>
            <w:vMerge w:val="continue"/>
            <w:tcBorders>
              <w:tl2br w:val="nil"/>
              <w:tr2bl w:val="nil"/>
            </w:tcBorders>
            <w:noWrap w:val="0"/>
            <w:vAlign w:val="center"/>
          </w:tcPr>
          <w:p w14:paraId="7F5848F8">
            <w:pPr>
              <w:rPr>
                <w:rFonts w:hint="default" w:ascii="Times New Roman" w:hAnsi="Times New Roman" w:cs="Times New Roman"/>
              </w:rPr>
            </w:pPr>
          </w:p>
        </w:tc>
        <w:tc>
          <w:tcPr>
            <w:tcW w:w="5598" w:type="dxa"/>
            <w:tcBorders>
              <w:tl2br w:val="nil"/>
              <w:tr2bl w:val="nil"/>
            </w:tcBorders>
            <w:noWrap w:val="0"/>
            <w:vAlign w:val="center"/>
          </w:tcPr>
          <w:p w14:paraId="04C815E5">
            <w:pPr>
              <w:rPr>
                <w:rFonts w:hint="default" w:ascii="Times New Roman" w:hAnsi="Times New Roman" w:cs="Times New Roman"/>
              </w:rPr>
            </w:pPr>
            <w:r>
              <w:rPr>
                <w:rFonts w:hint="default" w:ascii="Times New Roman" w:hAnsi="Times New Roman" w:cs="Times New Roman"/>
                <w:lang w:val="en-US" w:eastAsia="zh-CN"/>
              </w:rPr>
              <w:t>我单位不存在由同一单位工作人员为两家（含）以上供应商进行同一项投标活动的“串通投标”违法行为。</w:t>
            </w:r>
          </w:p>
        </w:tc>
        <w:tc>
          <w:tcPr>
            <w:tcW w:w="1553" w:type="dxa"/>
            <w:tcBorders>
              <w:tl2br w:val="nil"/>
              <w:tr2bl w:val="nil"/>
            </w:tcBorders>
            <w:noWrap/>
            <w:vAlign w:val="center"/>
          </w:tcPr>
          <w:p w14:paraId="052D638E">
            <w:pPr>
              <w:jc w:val="center"/>
              <w:rPr>
                <w:rFonts w:hint="default" w:ascii="Times New Roman" w:hAnsi="Times New Roman" w:cs="Times New Roman"/>
              </w:rPr>
            </w:pPr>
            <w:r>
              <w:rPr>
                <w:rFonts w:hint="default" w:ascii="Times New Roman" w:hAnsi="Times New Roman" w:cs="Times New Roman"/>
                <w:lang w:val="en-US" w:eastAsia="zh-CN"/>
              </w:rPr>
              <w:sym w:font="Wingdings" w:char="00A8"/>
            </w:r>
            <w:r>
              <w:rPr>
                <w:rFonts w:hint="default" w:ascii="Times New Roman" w:hAnsi="Times New Roman" w:cs="Times New Roman"/>
                <w:lang w:val="en-US" w:eastAsia="zh-CN"/>
              </w:rPr>
              <w:t>是；</w:t>
            </w:r>
            <w:r>
              <w:rPr>
                <w:rFonts w:hint="default" w:ascii="Times New Roman" w:hAnsi="Times New Roman" w:cs="Times New Roman"/>
                <w:lang w:val="en-US" w:eastAsia="zh-CN"/>
              </w:rPr>
              <w:sym w:font="Wingdings" w:char="00A8"/>
            </w:r>
            <w:r>
              <w:rPr>
                <w:rFonts w:hint="default" w:ascii="Times New Roman" w:hAnsi="Times New Roman" w:cs="Times New Roman"/>
                <w:lang w:eastAsia="zh-CN"/>
              </w:rPr>
              <w:t>否</w:t>
            </w:r>
          </w:p>
        </w:tc>
      </w:tr>
      <w:tr w14:paraId="4B7CC3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3" w:hRule="atLeast"/>
        </w:trPr>
        <w:tc>
          <w:tcPr>
            <w:tcW w:w="743" w:type="dxa"/>
            <w:tcBorders>
              <w:tl2br w:val="nil"/>
              <w:tr2bl w:val="nil"/>
            </w:tcBorders>
            <w:noWrap/>
            <w:vAlign w:val="center"/>
          </w:tcPr>
          <w:p w14:paraId="06E9DC03">
            <w:pPr>
              <w:jc w:val="center"/>
              <w:rPr>
                <w:rFonts w:hint="default" w:ascii="Times New Roman" w:hAnsi="Times New Roman" w:cs="Times New Roman"/>
              </w:rPr>
            </w:pPr>
            <w:r>
              <w:rPr>
                <w:rFonts w:hint="default" w:ascii="Times New Roman" w:hAnsi="Times New Roman" w:cs="Times New Roman"/>
                <w:lang w:val="en-US" w:eastAsia="zh-CN"/>
              </w:rPr>
              <w:t>6</w:t>
            </w:r>
          </w:p>
        </w:tc>
        <w:tc>
          <w:tcPr>
            <w:tcW w:w="637" w:type="dxa"/>
            <w:vMerge w:val="continue"/>
            <w:tcBorders>
              <w:tl2br w:val="nil"/>
              <w:tr2bl w:val="nil"/>
            </w:tcBorders>
            <w:noWrap w:val="0"/>
            <w:vAlign w:val="center"/>
          </w:tcPr>
          <w:p w14:paraId="0EFC10D1">
            <w:pPr>
              <w:rPr>
                <w:rFonts w:hint="default" w:ascii="Times New Roman" w:hAnsi="Times New Roman" w:cs="Times New Roman"/>
              </w:rPr>
            </w:pPr>
          </w:p>
        </w:tc>
        <w:tc>
          <w:tcPr>
            <w:tcW w:w="5598" w:type="dxa"/>
            <w:tcBorders>
              <w:tl2br w:val="nil"/>
              <w:tr2bl w:val="nil"/>
            </w:tcBorders>
            <w:noWrap w:val="0"/>
            <w:vAlign w:val="center"/>
          </w:tcPr>
          <w:p w14:paraId="1132EB7C">
            <w:pPr>
              <w:rPr>
                <w:rFonts w:hint="default" w:ascii="Times New Roman" w:hAnsi="Times New Roman" w:cs="Times New Roman"/>
              </w:rPr>
            </w:pPr>
            <w:r>
              <w:rPr>
                <w:rFonts w:hint="default" w:ascii="Times New Roman" w:hAnsi="Times New Roman" w:cs="Times New Roman"/>
                <w:lang w:val="en-US" w:eastAsia="zh-CN"/>
              </w:rPr>
              <w:t>我单位不存在与其他投标供应商相互约定给予未中标供应商利益补偿的“串通投标”违法行为。</w:t>
            </w:r>
          </w:p>
        </w:tc>
        <w:tc>
          <w:tcPr>
            <w:tcW w:w="1553" w:type="dxa"/>
            <w:tcBorders>
              <w:tl2br w:val="nil"/>
              <w:tr2bl w:val="nil"/>
            </w:tcBorders>
            <w:noWrap/>
            <w:vAlign w:val="center"/>
          </w:tcPr>
          <w:p w14:paraId="7025DE4E">
            <w:pPr>
              <w:jc w:val="center"/>
              <w:rPr>
                <w:rFonts w:hint="default" w:ascii="Times New Roman" w:hAnsi="Times New Roman" w:cs="Times New Roman"/>
              </w:rPr>
            </w:pPr>
            <w:r>
              <w:rPr>
                <w:rFonts w:hint="default" w:ascii="Times New Roman" w:hAnsi="Times New Roman" w:cs="Times New Roman"/>
                <w:lang w:val="en-US" w:eastAsia="zh-CN"/>
              </w:rPr>
              <w:sym w:font="Wingdings" w:char="00A8"/>
            </w:r>
            <w:r>
              <w:rPr>
                <w:rFonts w:hint="default" w:ascii="Times New Roman" w:hAnsi="Times New Roman" w:cs="Times New Roman"/>
                <w:lang w:val="en-US" w:eastAsia="zh-CN"/>
              </w:rPr>
              <w:t>是；</w:t>
            </w:r>
            <w:r>
              <w:rPr>
                <w:rFonts w:hint="default" w:ascii="Times New Roman" w:hAnsi="Times New Roman" w:cs="Times New Roman"/>
                <w:lang w:val="en-US" w:eastAsia="zh-CN"/>
              </w:rPr>
              <w:sym w:font="Wingdings" w:char="00A8"/>
            </w:r>
            <w:r>
              <w:rPr>
                <w:rFonts w:hint="default" w:ascii="Times New Roman" w:hAnsi="Times New Roman" w:cs="Times New Roman"/>
                <w:lang w:eastAsia="zh-CN"/>
              </w:rPr>
              <w:t>否</w:t>
            </w:r>
          </w:p>
        </w:tc>
      </w:tr>
      <w:tr w14:paraId="71ABA1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367" w:hRule="atLeast"/>
        </w:trPr>
        <w:tc>
          <w:tcPr>
            <w:tcW w:w="743" w:type="dxa"/>
            <w:tcBorders>
              <w:tl2br w:val="nil"/>
              <w:tr2bl w:val="nil"/>
            </w:tcBorders>
            <w:noWrap/>
            <w:vAlign w:val="center"/>
          </w:tcPr>
          <w:p w14:paraId="5DE4A8A2">
            <w:pPr>
              <w:jc w:val="center"/>
              <w:rPr>
                <w:rFonts w:hint="default" w:ascii="Times New Roman" w:hAnsi="Times New Roman" w:cs="Times New Roman"/>
              </w:rPr>
            </w:pPr>
            <w:r>
              <w:rPr>
                <w:rFonts w:hint="default" w:ascii="Times New Roman" w:hAnsi="Times New Roman" w:cs="Times New Roman"/>
                <w:lang w:val="en-US" w:eastAsia="zh-CN"/>
              </w:rPr>
              <w:t>7</w:t>
            </w:r>
          </w:p>
        </w:tc>
        <w:tc>
          <w:tcPr>
            <w:tcW w:w="637" w:type="dxa"/>
            <w:vMerge w:val="restart"/>
            <w:tcBorders>
              <w:tl2br w:val="nil"/>
              <w:tr2bl w:val="nil"/>
            </w:tcBorders>
            <w:noWrap w:val="0"/>
            <w:vAlign w:val="center"/>
          </w:tcPr>
          <w:p w14:paraId="400C627F">
            <w:pPr>
              <w:rPr>
                <w:rFonts w:hint="default" w:ascii="Times New Roman" w:hAnsi="Times New Roman" w:cs="Times New Roman"/>
              </w:rPr>
            </w:pPr>
            <w:r>
              <w:rPr>
                <w:rFonts w:hint="default" w:ascii="Times New Roman" w:hAnsi="Times New Roman" w:cs="Times New Roman"/>
                <w:lang w:val="en-US" w:eastAsia="zh-CN"/>
              </w:rPr>
              <w:t>虚假材料</w:t>
            </w:r>
          </w:p>
        </w:tc>
        <w:tc>
          <w:tcPr>
            <w:tcW w:w="5598" w:type="dxa"/>
            <w:tcBorders>
              <w:tl2br w:val="nil"/>
              <w:tr2bl w:val="nil"/>
            </w:tcBorders>
            <w:noWrap w:val="0"/>
            <w:vAlign w:val="center"/>
          </w:tcPr>
          <w:p w14:paraId="6BBABE76">
            <w:pPr>
              <w:rPr>
                <w:rFonts w:hint="default" w:ascii="Times New Roman" w:hAnsi="Times New Roman" w:cs="Times New Roman"/>
              </w:rPr>
            </w:pPr>
            <w:r>
              <w:rPr>
                <w:rFonts w:hint="default" w:ascii="Times New Roman" w:hAnsi="Times New Roman" w:cs="Times New Roman"/>
                <w:lang w:val="en-US" w:eastAsia="zh-CN"/>
              </w:rPr>
              <w:t>我单位已认真核查了投标文件的全部内容，所有资料（包括但不限于人员学历证书、职称证书、合同、履约验收材料或从其他单位取得的检验检测报告、证书、证明等材料）均为真实资料，已通过出具机构或全国认证认可信息公共服务平台（认e云平台）等官方渠道核实材料内容的真实性。我单位对投标文件中全部投标资料的真实性负责。</w:t>
            </w:r>
          </w:p>
        </w:tc>
        <w:tc>
          <w:tcPr>
            <w:tcW w:w="1553" w:type="dxa"/>
            <w:tcBorders>
              <w:tl2br w:val="nil"/>
              <w:tr2bl w:val="nil"/>
            </w:tcBorders>
            <w:noWrap/>
            <w:vAlign w:val="center"/>
          </w:tcPr>
          <w:p w14:paraId="56DCC647">
            <w:pPr>
              <w:jc w:val="center"/>
              <w:rPr>
                <w:rFonts w:hint="default" w:ascii="Times New Roman" w:hAnsi="Times New Roman" w:cs="Times New Roman"/>
              </w:rPr>
            </w:pPr>
            <w:r>
              <w:rPr>
                <w:rFonts w:hint="default" w:ascii="Times New Roman" w:hAnsi="Times New Roman" w:cs="Times New Roman"/>
                <w:lang w:val="en-US" w:eastAsia="zh-CN"/>
              </w:rPr>
              <w:sym w:font="Wingdings" w:char="00A8"/>
            </w:r>
            <w:r>
              <w:rPr>
                <w:rFonts w:hint="default" w:ascii="Times New Roman" w:hAnsi="Times New Roman" w:cs="Times New Roman"/>
                <w:lang w:val="en-US" w:eastAsia="zh-CN"/>
              </w:rPr>
              <w:t>是；</w:t>
            </w:r>
            <w:r>
              <w:rPr>
                <w:rFonts w:hint="default" w:ascii="Times New Roman" w:hAnsi="Times New Roman" w:cs="Times New Roman"/>
                <w:lang w:val="en-US" w:eastAsia="zh-CN"/>
              </w:rPr>
              <w:sym w:font="Wingdings" w:char="00A8"/>
            </w:r>
            <w:r>
              <w:rPr>
                <w:rFonts w:hint="default" w:ascii="Times New Roman" w:hAnsi="Times New Roman" w:cs="Times New Roman"/>
                <w:lang w:eastAsia="zh-CN"/>
              </w:rPr>
              <w:t>否</w:t>
            </w:r>
          </w:p>
        </w:tc>
      </w:tr>
      <w:tr w14:paraId="3AF084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3" w:hRule="atLeast"/>
        </w:trPr>
        <w:tc>
          <w:tcPr>
            <w:tcW w:w="743" w:type="dxa"/>
            <w:tcBorders>
              <w:tl2br w:val="nil"/>
              <w:tr2bl w:val="nil"/>
            </w:tcBorders>
            <w:noWrap/>
            <w:vAlign w:val="center"/>
          </w:tcPr>
          <w:p w14:paraId="3B52B635">
            <w:pPr>
              <w:jc w:val="center"/>
              <w:rPr>
                <w:rFonts w:hint="default" w:ascii="Times New Roman" w:hAnsi="Times New Roman" w:cs="Times New Roman"/>
              </w:rPr>
            </w:pPr>
            <w:r>
              <w:rPr>
                <w:rFonts w:hint="default" w:ascii="Times New Roman" w:hAnsi="Times New Roman" w:cs="Times New Roman"/>
                <w:lang w:val="en-US" w:eastAsia="zh-CN"/>
              </w:rPr>
              <w:t>8</w:t>
            </w:r>
          </w:p>
        </w:tc>
        <w:tc>
          <w:tcPr>
            <w:tcW w:w="637" w:type="dxa"/>
            <w:vMerge w:val="continue"/>
            <w:tcBorders>
              <w:tl2br w:val="nil"/>
              <w:tr2bl w:val="nil"/>
            </w:tcBorders>
            <w:noWrap w:val="0"/>
            <w:vAlign w:val="center"/>
          </w:tcPr>
          <w:p w14:paraId="241478B9">
            <w:pPr>
              <w:rPr>
                <w:rFonts w:hint="default" w:ascii="Times New Roman" w:hAnsi="Times New Roman" w:cs="Times New Roman"/>
              </w:rPr>
            </w:pPr>
          </w:p>
        </w:tc>
        <w:tc>
          <w:tcPr>
            <w:tcW w:w="5598" w:type="dxa"/>
            <w:tcBorders>
              <w:tl2br w:val="nil"/>
              <w:tr2bl w:val="nil"/>
            </w:tcBorders>
            <w:noWrap w:val="0"/>
            <w:vAlign w:val="center"/>
          </w:tcPr>
          <w:p w14:paraId="77F70ABA">
            <w:pPr>
              <w:rPr>
                <w:rFonts w:hint="default" w:ascii="Times New Roman" w:hAnsi="Times New Roman" w:cs="Times New Roman"/>
              </w:rPr>
            </w:pPr>
            <w:r>
              <w:rPr>
                <w:rFonts w:hint="default" w:ascii="Times New Roman" w:hAnsi="Times New Roman" w:cs="Times New Roman"/>
                <w:lang w:val="en-US" w:eastAsia="zh-CN"/>
              </w:rPr>
              <w:t>我单位不存在通过转让或者租借等方式从其他单位获取资格或者资质证书投标的“提供虚假资料”违法行为。</w:t>
            </w:r>
          </w:p>
        </w:tc>
        <w:tc>
          <w:tcPr>
            <w:tcW w:w="1553" w:type="dxa"/>
            <w:tcBorders>
              <w:tl2br w:val="nil"/>
              <w:tr2bl w:val="nil"/>
            </w:tcBorders>
            <w:noWrap/>
            <w:vAlign w:val="center"/>
          </w:tcPr>
          <w:p w14:paraId="329D4149">
            <w:pPr>
              <w:jc w:val="center"/>
              <w:rPr>
                <w:rFonts w:hint="default" w:ascii="Times New Roman" w:hAnsi="Times New Roman" w:cs="Times New Roman"/>
              </w:rPr>
            </w:pPr>
            <w:r>
              <w:rPr>
                <w:rFonts w:hint="default" w:ascii="Times New Roman" w:hAnsi="Times New Roman" w:cs="Times New Roman"/>
                <w:lang w:val="en-US" w:eastAsia="zh-CN"/>
              </w:rPr>
              <w:sym w:font="Wingdings" w:char="00A8"/>
            </w:r>
            <w:r>
              <w:rPr>
                <w:rFonts w:hint="default" w:ascii="Times New Roman" w:hAnsi="Times New Roman" w:cs="Times New Roman"/>
                <w:lang w:val="en-US" w:eastAsia="zh-CN"/>
              </w:rPr>
              <w:t>是；</w:t>
            </w:r>
            <w:r>
              <w:rPr>
                <w:rFonts w:hint="default" w:ascii="Times New Roman" w:hAnsi="Times New Roman" w:cs="Times New Roman"/>
                <w:lang w:val="en-US" w:eastAsia="zh-CN"/>
              </w:rPr>
              <w:sym w:font="Wingdings" w:char="00A8"/>
            </w:r>
            <w:r>
              <w:rPr>
                <w:rFonts w:hint="default" w:ascii="Times New Roman" w:hAnsi="Times New Roman" w:cs="Times New Roman"/>
                <w:lang w:eastAsia="zh-CN"/>
              </w:rPr>
              <w:t>否</w:t>
            </w:r>
          </w:p>
        </w:tc>
      </w:tr>
      <w:tr w14:paraId="1EE42E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3" w:hRule="atLeast"/>
        </w:trPr>
        <w:tc>
          <w:tcPr>
            <w:tcW w:w="743" w:type="dxa"/>
            <w:tcBorders>
              <w:tl2br w:val="nil"/>
              <w:tr2bl w:val="nil"/>
            </w:tcBorders>
            <w:noWrap/>
            <w:vAlign w:val="center"/>
          </w:tcPr>
          <w:p w14:paraId="6C7B87B1">
            <w:pPr>
              <w:jc w:val="center"/>
              <w:rPr>
                <w:rFonts w:hint="default" w:ascii="Times New Roman" w:hAnsi="Times New Roman" w:cs="Times New Roman"/>
                <w:lang w:val="en-US"/>
              </w:rPr>
            </w:pPr>
            <w:r>
              <w:rPr>
                <w:rFonts w:hint="default" w:ascii="Times New Roman" w:hAnsi="Times New Roman" w:cs="Times New Roman"/>
                <w:lang w:val="en-US" w:eastAsia="zh-CN"/>
              </w:rPr>
              <w:t>9</w:t>
            </w:r>
          </w:p>
        </w:tc>
        <w:tc>
          <w:tcPr>
            <w:tcW w:w="637" w:type="dxa"/>
            <w:vMerge w:val="continue"/>
            <w:tcBorders>
              <w:tl2br w:val="nil"/>
              <w:tr2bl w:val="nil"/>
            </w:tcBorders>
            <w:noWrap w:val="0"/>
            <w:vAlign w:val="center"/>
          </w:tcPr>
          <w:p w14:paraId="277D71A6">
            <w:pPr>
              <w:rPr>
                <w:rFonts w:hint="default" w:ascii="Times New Roman" w:hAnsi="Times New Roman" w:cs="Times New Roman"/>
              </w:rPr>
            </w:pPr>
          </w:p>
        </w:tc>
        <w:tc>
          <w:tcPr>
            <w:tcW w:w="5598" w:type="dxa"/>
            <w:tcBorders>
              <w:tl2br w:val="nil"/>
              <w:tr2bl w:val="nil"/>
            </w:tcBorders>
            <w:noWrap w:val="0"/>
            <w:vAlign w:val="center"/>
          </w:tcPr>
          <w:p w14:paraId="7F55B00C">
            <w:pPr>
              <w:rPr>
                <w:rFonts w:hint="default" w:ascii="Times New Roman" w:hAnsi="Times New Roman" w:cs="Times New Roman"/>
              </w:rPr>
            </w:pPr>
            <w:r>
              <w:rPr>
                <w:rFonts w:hint="default" w:ascii="Times New Roman" w:hAnsi="Times New Roman" w:cs="Times New Roman"/>
                <w:lang w:val="en-US" w:eastAsia="zh-CN"/>
              </w:rPr>
              <w:t>我单位不存在由其他单位或者其他单位负责人在我单位投标文件上加盖印章或者签字的“提供虚假资料”违法行为。</w:t>
            </w:r>
          </w:p>
        </w:tc>
        <w:tc>
          <w:tcPr>
            <w:tcW w:w="1553" w:type="dxa"/>
            <w:tcBorders>
              <w:tl2br w:val="nil"/>
              <w:tr2bl w:val="nil"/>
            </w:tcBorders>
            <w:noWrap/>
            <w:vAlign w:val="center"/>
          </w:tcPr>
          <w:p w14:paraId="21B059B8">
            <w:pPr>
              <w:jc w:val="center"/>
              <w:rPr>
                <w:rFonts w:hint="default" w:ascii="Times New Roman" w:hAnsi="Times New Roman" w:cs="Times New Roman"/>
              </w:rPr>
            </w:pPr>
            <w:r>
              <w:rPr>
                <w:rFonts w:hint="default" w:ascii="Times New Roman" w:hAnsi="Times New Roman" w:cs="Times New Roman"/>
                <w:lang w:val="en-US" w:eastAsia="zh-CN"/>
              </w:rPr>
              <w:sym w:font="Wingdings" w:char="00A8"/>
            </w:r>
            <w:r>
              <w:rPr>
                <w:rFonts w:hint="default" w:ascii="Times New Roman" w:hAnsi="Times New Roman" w:cs="Times New Roman"/>
                <w:lang w:val="en-US" w:eastAsia="zh-CN"/>
              </w:rPr>
              <w:t>是；</w:t>
            </w:r>
            <w:r>
              <w:rPr>
                <w:rFonts w:hint="default" w:ascii="Times New Roman" w:hAnsi="Times New Roman" w:cs="Times New Roman"/>
                <w:lang w:val="en-US" w:eastAsia="zh-CN"/>
              </w:rPr>
              <w:sym w:font="Wingdings" w:char="00A8"/>
            </w:r>
            <w:r>
              <w:rPr>
                <w:rFonts w:hint="default" w:ascii="Times New Roman" w:hAnsi="Times New Roman" w:cs="Times New Roman"/>
                <w:lang w:eastAsia="zh-CN"/>
              </w:rPr>
              <w:t>否</w:t>
            </w:r>
          </w:p>
        </w:tc>
      </w:tr>
      <w:tr w14:paraId="028E6B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3" w:hRule="atLeast"/>
        </w:trPr>
        <w:tc>
          <w:tcPr>
            <w:tcW w:w="743" w:type="dxa"/>
            <w:tcBorders>
              <w:tl2br w:val="nil"/>
              <w:tr2bl w:val="nil"/>
            </w:tcBorders>
            <w:noWrap/>
            <w:vAlign w:val="center"/>
          </w:tcPr>
          <w:p w14:paraId="36066A32">
            <w:pPr>
              <w:jc w:val="center"/>
              <w:rPr>
                <w:rFonts w:hint="default" w:ascii="Times New Roman" w:hAnsi="Times New Roman" w:cs="Times New Roman"/>
                <w:lang w:val="en-US"/>
              </w:rPr>
            </w:pPr>
            <w:r>
              <w:rPr>
                <w:rFonts w:hint="default" w:ascii="Times New Roman" w:hAnsi="Times New Roman" w:cs="Times New Roman"/>
                <w:lang w:val="en-US" w:eastAsia="zh-CN"/>
              </w:rPr>
              <w:t>10</w:t>
            </w:r>
          </w:p>
        </w:tc>
        <w:tc>
          <w:tcPr>
            <w:tcW w:w="637" w:type="dxa"/>
            <w:vMerge w:val="continue"/>
            <w:tcBorders>
              <w:tl2br w:val="nil"/>
              <w:tr2bl w:val="nil"/>
            </w:tcBorders>
            <w:noWrap w:val="0"/>
            <w:vAlign w:val="center"/>
          </w:tcPr>
          <w:p w14:paraId="72196544">
            <w:pPr>
              <w:rPr>
                <w:rFonts w:hint="default" w:ascii="Times New Roman" w:hAnsi="Times New Roman" w:cs="Times New Roman"/>
              </w:rPr>
            </w:pPr>
          </w:p>
        </w:tc>
        <w:tc>
          <w:tcPr>
            <w:tcW w:w="5598" w:type="dxa"/>
            <w:tcBorders>
              <w:tl2br w:val="nil"/>
              <w:tr2bl w:val="nil"/>
            </w:tcBorders>
            <w:noWrap w:val="0"/>
            <w:vAlign w:val="center"/>
          </w:tcPr>
          <w:p w14:paraId="77C6A1BD">
            <w:pPr>
              <w:rPr>
                <w:rFonts w:hint="default" w:ascii="Times New Roman" w:hAnsi="Times New Roman" w:cs="Times New Roman"/>
              </w:rPr>
            </w:pPr>
            <w:r>
              <w:rPr>
                <w:rFonts w:hint="default" w:ascii="Times New Roman" w:hAnsi="Times New Roman" w:cs="Times New Roman"/>
                <w:lang w:val="en-US" w:eastAsia="zh-CN"/>
              </w:rPr>
              <w:t>我单位不存在项目负责人或者主要技术人员不是本单位人员的“提供虚假资料”违法行为。</w:t>
            </w:r>
          </w:p>
        </w:tc>
        <w:tc>
          <w:tcPr>
            <w:tcW w:w="1553" w:type="dxa"/>
            <w:tcBorders>
              <w:tl2br w:val="nil"/>
              <w:tr2bl w:val="nil"/>
            </w:tcBorders>
            <w:noWrap/>
            <w:vAlign w:val="center"/>
          </w:tcPr>
          <w:p w14:paraId="65D5773E">
            <w:pPr>
              <w:jc w:val="center"/>
              <w:rPr>
                <w:rFonts w:hint="default" w:ascii="Times New Roman" w:hAnsi="Times New Roman" w:cs="Times New Roman"/>
              </w:rPr>
            </w:pPr>
            <w:r>
              <w:rPr>
                <w:rFonts w:hint="default" w:ascii="Times New Roman" w:hAnsi="Times New Roman" w:cs="Times New Roman"/>
                <w:lang w:val="en-US" w:eastAsia="zh-CN"/>
              </w:rPr>
              <w:sym w:font="Wingdings" w:char="00A8"/>
            </w:r>
            <w:r>
              <w:rPr>
                <w:rFonts w:hint="default" w:ascii="Times New Roman" w:hAnsi="Times New Roman" w:cs="Times New Roman"/>
                <w:lang w:val="en-US" w:eastAsia="zh-CN"/>
              </w:rPr>
              <w:t>是；</w:t>
            </w:r>
            <w:r>
              <w:rPr>
                <w:rFonts w:hint="default" w:ascii="Times New Roman" w:hAnsi="Times New Roman" w:cs="Times New Roman"/>
                <w:lang w:val="en-US" w:eastAsia="zh-CN"/>
              </w:rPr>
              <w:sym w:font="Wingdings" w:char="00A8"/>
            </w:r>
            <w:r>
              <w:rPr>
                <w:rFonts w:hint="default" w:ascii="Times New Roman" w:hAnsi="Times New Roman" w:cs="Times New Roman"/>
                <w:lang w:eastAsia="zh-CN"/>
              </w:rPr>
              <w:t>否</w:t>
            </w:r>
          </w:p>
        </w:tc>
      </w:tr>
      <w:tr w14:paraId="5C879A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3" w:hRule="atLeast"/>
        </w:trPr>
        <w:tc>
          <w:tcPr>
            <w:tcW w:w="743" w:type="dxa"/>
            <w:tcBorders>
              <w:tl2br w:val="nil"/>
              <w:tr2bl w:val="nil"/>
            </w:tcBorders>
            <w:noWrap/>
            <w:vAlign w:val="center"/>
          </w:tcPr>
          <w:p w14:paraId="05044351">
            <w:pPr>
              <w:jc w:val="center"/>
              <w:rPr>
                <w:rFonts w:hint="default" w:ascii="Times New Roman" w:hAnsi="Times New Roman" w:cs="Times New Roman"/>
                <w:lang w:val="en-US"/>
              </w:rPr>
            </w:pPr>
            <w:r>
              <w:rPr>
                <w:rFonts w:hint="default" w:ascii="Times New Roman" w:hAnsi="Times New Roman" w:cs="Times New Roman"/>
                <w:lang w:val="en-US" w:eastAsia="zh-CN"/>
              </w:rPr>
              <w:t>11</w:t>
            </w:r>
          </w:p>
        </w:tc>
        <w:tc>
          <w:tcPr>
            <w:tcW w:w="637" w:type="dxa"/>
            <w:vMerge w:val="continue"/>
            <w:tcBorders>
              <w:tl2br w:val="nil"/>
              <w:tr2bl w:val="nil"/>
            </w:tcBorders>
            <w:noWrap w:val="0"/>
            <w:vAlign w:val="center"/>
          </w:tcPr>
          <w:p w14:paraId="48F6C997">
            <w:pPr>
              <w:rPr>
                <w:rFonts w:hint="default" w:ascii="Times New Roman" w:hAnsi="Times New Roman" w:cs="Times New Roman"/>
              </w:rPr>
            </w:pPr>
          </w:p>
        </w:tc>
        <w:tc>
          <w:tcPr>
            <w:tcW w:w="5598" w:type="dxa"/>
            <w:tcBorders>
              <w:tl2br w:val="nil"/>
              <w:tr2bl w:val="nil"/>
            </w:tcBorders>
            <w:noWrap w:val="0"/>
            <w:vAlign w:val="center"/>
          </w:tcPr>
          <w:p w14:paraId="4DEDBBE5">
            <w:pPr>
              <w:rPr>
                <w:rFonts w:hint="default" w:ascii="Times New Roman" w:hAnsi="Times New Roman" w:cs="Times New Roman"/>
              </w:rPr>
            </w:pPr>
            <w:r>
              <w:rPr>
                <w:rFonts w:hint="default" w:ascii="Times New Roman" w:hAnsi="Times New Roman" w:cs="Times New Roman"/>
                <w:lang w:val="en-US" w:eastAsia="zh-CN"/>
              </w:rPr>
              <w:t>我单位不存在投标保证金（根据采购文件要求提交）不是从我单位基本账户转出的“提供虚假资料”违法行为。</w:t>
            </w:r>
          </w:p>
        </w:tc>
        <w:tc>
          <w:tcPr>
            <w:tcW w:w="1553" w:type="dxa"/>
            <w:tcBorders>
              <w:tl2br w:val="nil"/>
              <w:tr2bl w:val="nil"/>
            </w:tcBorders>
            <w:noWrap/>
            <w:vAlign w:val="center"/>
          </w:tcPr>
          <w:p w14:paraId="6107F649">
            <w:pPr>
              <w:jc w:val="center"/>
              <w:rPr>
                <w:rFonts w:hint="default" w:ascii="Times New Roman" w:hAnsi="Times New Roman" w:cs="Times New Roman"/>
              </w:rPr>
            </w:pPr>
            <w:r>
              <w:rPr>
                <w:rFonts w:hint="default" w:ascii="Times New Roman" w:hAnsi="Times New Roman" w:cs="Times New Roman"/>
                <w:lang w:val="en-US" w:eastAsia="zh-CN"/>
              </w:rPr>
              <w:sym w:font="Wingdings" w:char="00A8"/>
            </w:r>
            <w:r>
              <w:rPr>
                <w:rFonts w:hint="default" w:ascii="Times New Roman" w:hAnsi="Times New Roman" w:cs="Times New Roman"/>
                <w:lang w:val="en-US" w:eastAsia="zh-CN"/>
              </w:rPr>
              <w:t>是；</w:t>
            </w:r>
            <w:r>
              <w:rPr>
                <w:rFonts w:hint="default" w:ascii="Times New Roman" w:hAnsi="Times New Roman" w:cs="Times New Roman"/>
                <w:lang w:val="en-US" w:eastAsia="zh-CN"/>
              </w:rPr>
              <w:sym w:font="Wingdings" w:char="00A8"/>
            </w:r>
            <w:r>
              <w:rPr>
                <w:rFonts w:hint="default" w:ascii="Times New Roman" w:hAnsi="Times New Roman" w:cs="Times New Roman"/>
                <w:lang w:eastAsia="zh-CN"/>
              </w:rPr>
              <w:t>否</w:t>
            </w:r>
          </w:p>
        </w:tc>
      </w:tr>
      <w:tr w14:paraId="57D6C2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3" w:hRule="atLeast"/>
        </w:trPr>
        <w:tc>
          <w:tcPr>
            <w:tcW w:w="743" w:type="dxa"/>
            <w:tcBorders>
              <w:tl2br w:val="nil"/>
              <w:tr2bl w:val="nil"/>
            </w:tcBorders>
            <w:noWrap/>
            <w:vAlign w:val="center"/>
          </w:tcPr>
          <w:p w14:paraId="62E752B0">
            <w:pPr>
              <w:jc w:val="center"/>
              <w:rPr>
                <w:rFonts w:hint="default" w:ascii="Times New Roman" w:hAnsi="Times New Roman" w:cs="Times New Roman"/>
                <w:lang w:val="en-US"/>
              </w:rPr>
            </w:pPr>
            <w:r>
              <w:rPr>
                <w:rFonts w:hint="default" w:ascii="Times New Roman" w:hAnsi="Times New Roman" w:cs="Times New Roman"/>
                <w:lang w:val="en-US" w:eastAsia="zh-CN"/>
              </w:rPr>
              <w:t>12</w:t>
            </w:r>
          </w:p>
        </w:tc>
        <w:tc>
          <w:tcPr>
            <w:tcW w:w="637" w:type="dxa"/>
            <w:vMerge w:val="restart"/>
            <w:tcBorders>
              <w:tl2br w:val="nil"/>
              <w:tr2bl w:val="nil"/>
            </w:tcBorders>
            <w:noWrap w:val="0"/>
            <w:vAlign w:val="center"/>
          </w:tcPr>
          <w:p w14:paraId="081E2D69">
            <w:pPr>
              <w:rPr>
                <w:rFonts w:hint="default" w:ascii="Times New Roman" w:hAnsi="Times New Roman" w:cs="Times New Roman"/>
              </w:rPr>
            </w:pPr>
            <w:r>
              <w:rPr>
                <w:rFonts w:hint="default" w:ascii="Times New Roman" w:hAnsi="Times New Roman" w:cs="Times New Roman"/>
                <w:lang w:val="en-US" w:eastAsia="zh-CN"/>
              </w:rPr>
              <w:t>关联关系及其他情形</w:t>
            </w:r>
          </w:p>
        </w:tc>
        <w:tc>
          <w:tcPr>
            <w:tcW w:w="5598" w:type="dxa"/>
            <w:tcBorders>
              <w:tl2br w:val="nil"/>
              <w:tr2bl w:val="nil"/>
            </w:tcBorders>
            <w:noWrap w:val="0"/>
            <w:vAlign w:val="center"/>
          </w:tcPr>
          <w:p w14:paraId="35BDD2B9">
            <w:pPr>
              <w:rPr>
                <w:rFonts w:hint="default" w:ascii="Times New Roman" w:hAnsi="Times New Roman" w:cs="Times New Roman"/>
              </w:rPr>
            </w:pPr>
            <w:r>
              <w:rPr>
                <w:rFonts w:hint="default" w:ascii="Times New Roman" w:hAnsi="Times New Roman" w:cs="Times New Roman"/>
                <w:lang w:val="en-US" w:eastAsia="zh-CN"/>
              </w:rPr>
              <w:t>我单位严格管理本单位的电子秘钥及电子营业执照，不委托或出借给第三方（人）使用和管理。</w:t>
            </w:r>
          </w:p>
        </w:tc>
        <w:tc>
          <w:tcPr>
            <w:tcW w:w="1553" w:type="dxa"/>
            <w:tcBorders>
              <w:tl2br w:val="nil"/>
              <w:tr2bl w:val="nil"/>
            </w:tcBorders>
            <w:noWrap/>
            <w:vAlign w:val="center"/>
          </w:tcPr>
          <w:p w14:paraId="49267C99">
            <w:pPr>
              <w:jc w:val="center"/>
              <w:rPr>
                <w:rFonts w:hint="default" w:ascii="Times New Roman" w:hAnsi="Times New Roman" w:cs="Times New Roman"/>
              </w:rPr>
            </w:pPr>
            <w:r>
              <w:rPr>
                <w:rFonts w:hint="default" w:ascii="Times New Roman" w:hAnsi="Times New Roman" w:cs="Times New Roman"/>
                <w:lang w:val="en-US" w:eastAsia="zh-CN"/>
              </w:rPr>
              <w:sym w:font="Wingdings" w:char="00A8"/>
            </w:r>
            <w:r>
              <w:rPr>
                <w:rFonts w:hint="default" w:ascii="Times New Roman" w:hAnsi="Times New Roman" w:cs="Times New Roman"/>
                <w:lang w:val="en-US" w:eastAsia="zh-CN"/>
              </w:rPr>
              <w:t>是；</w:t>
            </w:r>
            <w:r>
              <w:rPr>
                <w:rFonts w:hint="default" w:ascii="Times New Roman" w:hAnsi="Times New Roman" w:cs="Times New Roman"/>
                <w:lang w:val="en-US" w:eastAsia="zh-CN"/>
              </w:rPr>
              <w:sym w:font="Wingdings" w:char="00A8"/>
            </w:r>
            <w:r>
              <w:rPr>
                <w:rFonts w:hint="default" w:ascii="Times New Roman" w:hAnsi="Times New Roman" w:cs="Times New Roman"/>
                <w:lang w:eastAsia="zh-CN"/>
              </w:rPr>
              <w:t>否</w:t>
            </w:r>
          </w:p>
        </w:tc>
      </w:tr>
      <w:tr w14:paraId="31EE1D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3" w:hRule="atLeast"/>
        </w:trPr>
        <w:tc>
          <w:tcPr>
            <w:tcW w:w="743" w:type="dxa"/>
            <w:tcBorders>
              <w:tl2br w:val="nil"/>
              <w:tr2bl w:val="nil"/>
            </w:tcBorders>
            <w:noWrap/>
            <w:vAlign w:val="center"/>
          </w:tcPr>
          <w:p w14:paraId="32D343D3">
            <w:pPr>
              <w:jc w:val="center"/>
              <w:rPr>
                <w:rFonts w:hint="default" w:ascii="Times New Roman" w:hAnsi="Times New Roman" w:cs="Times New Roman"/>
                <w:lang w:val="en-US" w:eastAsia="zh-CN"/>
              </w:rPr>
            </w:pPr>
            <w:r>
              <w:rPr>
                <w:rFonts w:hint="default" w:ascii="Times New Roman" w:hAnsi="Times New Roman" w:cs="Times New Roman"/>
                <w:lang w:val="en-US" w:eastAsia="zh-CN"/>
              </w:rPr>
              <w:t>13</w:t>
            </w:r>
          </w:p>
        </w:tc>
        <w:tc>
          <w:tcPr>
            <w:tcW w:w="637" w:type="dxa"/>
            <w:vMerge w:val="continue"/>
            <w:tcBorders>
              <w:tl2br w:val="nil"/>
              <w:tr2bl w:val="nil"/>
            </w:tcBorders>
            <w:noWrap w:val="0"/>
            <w:vAlign w:val="center"/>
          </w:tcPr>
          <w:p w14:paraId="7EBA74A1">
            <w:pPr>
              <w:rPr>
                <w:rFonts w:hint="default" w:ascii="Times New Roman" w:hAnsi="Times New Roman" w:cs="Times New Roman"/>
                <w:lang w:val="en-US" w:eastAsia="zh-CN"/>
              </w:rPr>
            </w:pPr>
          </w:p>
        </w:tc>
        <w:tc>
          <w:tcPr>
            <w:tcW w:w="5598" w:type="dxa"/>
            <w:tcBorders>
              <w:tl2br w:val="nil"/>
              <w:tr2bl w:val="nil"/>
            </w:tcBorders>
            <w:noWrap w:val="0"/>
            <w:vAlign w:val="center"/>
          </w:tcPr>
          <w:p w14:paraId="1A40A338">
            <w:pPr>
              <w:rPr>
                <w:rFonts w:hint="default" w:ascii="Times New Roman" w:hAnsi="Times New Roman" w:cs="Times New Roman"/>
                <w:lang w:val="en-US" w:eastAsia="zh-CN"/>
              </w:rPr>
            </w:pPr>
            <w:r>
              <w:rPr>
                <w:rFonts w:hint="default" w:ascii="Times New Roman" w:hAnsi="Times New Roman" w:cs="Times New Roman"/>
                <w:lang w:val="en-US" w:eastAsia="zh-CN"/>
              </w:rPr>
              <w:t>我单位不使用公共电脑设备或公共网络编制、上传投标文件。</w:t>
            </w:r>
          </w:p>
        </w:tc>
        <w:tc>
          <w:tcPr>
            <w:tcW w:w="1553" w:type="dxa"/>
            <w:tcBorders>
              <w:tl2br w:val="nil"/>
              <w:tr2bl w:val="nil"/>
            </w:tcBorders>
            <w:noWrap/>
            <w:vAlign w:val="center"/>
          </w:tcPr>
          <w:p w14:paraId="285DF94E">
            <w:pPr>
              <w:jc w:val="center"/>
              <w:rPr>
                <w:rFonts w:hint="default" w:ascii="Times New Roman" w:hAnsi="Times New Roman" w:cs="Times New Roman"/>
                <w:lang w:val="en-US" w:eastAsia="zh-CN"/>
              </w:rPr>
            </w:pPr>
            <w:r>
              <w:rPr>
                <w:rFonts w:hint="default" w:ascii="Times New Roman" w:hAnsi="Times New Roman" w:cs="Times New Roman"/>
                <w:lang w:val="en-US" w:eastAsia="zh-CN"/>
              </w:rPr>
              <w:sym w:font="Wingdings" w:char="00A8"/>
            </w:r>
            <w:r>
              <w:rPr>
                <w:rFonts w:hint="default" w:ascii="Times New Roman" w:hAnsi="Times New Roman" w:cs="Times New Roman"/>
                <w:lang w:val="en-US" w:eastAsia="zh-CN"/>
              </w:rPr>
              <w:t>是；</w:t>
            </w:r>
            <w:r>
              <w:rPr>
                <w:rFonts w:hint="default" w:ascii="Times New Roman" w:hAnsi="Times New Roman" w:cs="Times New Roman"/>
                <w:lang w:val="en-US" w:eastAsia="zh-CN"/>
              </w:rPr>
              <w:sym w:font="Wingdings" w:char="00A8"/>
            </w:r>
            <w:r>
              <w:rPr>
                <w:rFonts w:hint="default" w:ascii="Times New Roman" w:hAnsi="Times New Roman" w:cs="Times New Roman"/>
                <w:lang w:eastAsia="zh-CN"/>
              </w:rPr>
              <w:t>否</w:t>
            </w:r>
          </w:p>
        </w:tc>
      </w:tr>
      <w:tr w14:paraId="21BA91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3" w:hRule="atLeast"/>
        </w:trPr>
        <w:tc>
          <w:tcPr>
            <w:tcW w:w="743" w:type="dxa"/>
            <w:tcBorders>
              <w:tl2br w:val="nil"/>
              <w:tr2bl w:val="nil"/>
            </w:tcBorders>
            <w:noWrap/>
            <w:vAlign w:val="center"/>
          </w:tcPr>
          <w:p w14:paraId="44F0A0E9">
            <w:pPr>
              <w:jc w:val="center"/>
              <w:rPr>
                <w:rFonts w:hint="default" w:ascii="Times New Roman" w:hAnsi="Times New Roman" w:cs="Times New Roman"/>
                <w:lang w:val="en-US"/>
              </w:rPr>
            </w:pPr>
            <w:r>
              <w:rPr>
                <w:rFonts w:hint="default" w:ascii="Times New Roman" w:hAnsi="Times New Roman" w:cs="Times New Roman"/>
                <w:lang w:val="en-US" w:eastAsia="zh-CN"/>
              </w:rPr>
              <w:t>14</w:t>
            </w:r>
          </w:p>
        </w:tc>
        <w:tc>
          <w:tcPr>
            <w:tcW w:w="637" w:type="dxa"/>
            <w:vMerge w:val="continue"/>
            <w:tcBorders>
              <w:tl2br w:val="nil"/>
              <w:tr2bl w:val="nil"/>
            </w:tcBorders>
            <w:noWrap w:val="0"/>
            <w:vAlign w:val="center"/>
          </w:tcPr>
          <w:p w14:paraId="65917487">
            <w:pPr>
              <w:rPr>
                <w:rFonts w:hint="default" w:ascii="Times New Roman" w:hAnsi="Times New Roman" w:cs="Times New Roman"/>
              </w:rPr>
            </w:pPr>
          </w:p>
        </w:tc>
        <w:tc>
          <w:tcPr>
            <w:tcW w:w="5598" w:type="dxa"/>
            <w:tcBorders>
              <w:tl2br w:val="nil"/>
              <w:tr2bl w:val="nil"/>
            </w:tcBorders>
            <w:noWrap w:val="0"/>
            <w:vAlign w:val="center"/>
          </w:tcPr>
          <w:p w14:paraId="090BC76A">
            <w:pPr>
              <w:rPr>
                <w:rFonts w:hint="default" w:ascii="Times New Roman" w:hAnsi="Times New Roman" w:cs="Times New Roman"/>
              </w:rPr>
            </w:pPr>
            <w:r>
              <w:rPr>
                <w:rFonts w:hint="default" w:ascii="Times New Roman" w:hAnsi="Times New Roman" w:cs="Times New Roman"/>
                <w:lang w:val="en-US" w:eastAsia="zh-CN"/>
              </w:rPr>
              <w:t>我单位与其他投标供应商在参与本项目时，不存在单位负责人为同一人或直接控股、管理关系的行为。</w:t>
            </w:r>
          </w:p>
        </w:tc>
        <w:tc>
          <w:tcPr>
            <w:tcW w:w="1553" w:type="dxa"/>
            <w:tcBorders>
              <w:tl2br w:val="nil"/>
              <w:tr2bl w:val="nil"/>
            </w:tcBorders>
            <w:noWrap/>
            <w:vAlign w:val="center"/>
          </w:tcPr>
          <w:p w14:paraId="226F66E9">
            <w:pPr>
              <w:jc w:val="center"/>
              <w:rPr>
                <w:rFonts w:hint="default" w:ascii="Times New Roman" w:hAnsi="Times New Roman" w:cs="Times New Roman"/>
              </w:rPr>
            </w:pPr>
            <w:r>
              <w:rPr>
                <w:rFonts w:hint="default" w:ascii="Times New Roman" w:hAnsi="Times New Roman" w:cs="Times New Roman"/>
                <w:lang w:val="en-US" w:eastAsia="zh-CN"/>
              </w:rPr>
              <w:sym w:font="Wingdings" w:char="00A8"/>
            </w:r>
            <w:r>
              <w:rPr>
                <w:rFonts w:hint="default" w:ascii="Times New Roman" w:hAnsi="Times New Roman" w:cs="Times New Roman"/>
                <w:lang w:val="en-US" w:eastAsia="zh-CN"/>
              </w:rPr>
              <w:t>是；</w:t>
            </w:r>
            <w:r>
              <w:rPr>
                <w:rFonts w:hint="default" w:ascii="Times New Roman" w:hAnsi="Times New Roman" w:cs="Times New Roman"/>
                <w:lang w:val="en-US" w:eastAsia="zh-CN"/>
              </w:rPr>
              <w:sym w:font="Wingdings" w:char="00A8"/>
            </w:r>
            <w:r>
              <w:rPr>
                <w:rFonts w:hint="default" w:ascii="Times New Roman" w:hAnsi="Times New Roman" w:cs="Times New Roman"/>
                <w:lang w:eastAsia="zh-CN"/>
              </w:rPr>
              <w:t>否</w:t>
            </w:r>
          </w:p>
        </w:tc>
      </w:tr>
      <w:tr w14:paraId="40A115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15" w:hRule="atLeast"/>
        </w:trPr>
        <w:tc>
          <w:tcPr>
            <w:tcW w:w="743" w:type="dxa"/>
            <w:tcBorders>
              <w:tl2br w:val="nil"/>
              <w:tr2bl w:val="nil"/>
            </w:tcBorders>
            <w:noWrap/>
            <w:vAlign w:val="center"/>
          </w:tcPr>
          <w:p w14:paraId="4A8C64E3">
            <w:pPr>
              <w:jc w:val="center"/>
              <w:rPr>
                <w:rFonts w:hint="default" w:ascii="Times New Roman" w:hAnsi="Times New Roman" w:cs="Times New Roman"/>
                <w:lang w:val="en-US" w:eastAsia="zh-CN"/>
              </w:rPr>
            </w:pPr>
            <w:r>
              <w:rPr>
                <w:rFonts w:hint="default" w:ascii="Times New Roman" w:hAnsi="Times New Roman" w:cs="Times New Roman"/>
                <w:lang w:val="en-US" w:eastAsia="zh-CN"/>
              </w:rPr>
              <w:t>15</w:t>
            </w:r>
          </w:p>
        </w:tc>
        <w:tc>
          <w:tcPr>
            <w:tcW w:w="637" w:type="dxa"/>
            <w:vMerge w:val="continue"/>
            <w:tcBorders>
              <w:tl2br w:val="nil"/>
              <w:tr2bl w:val="nil"/>
            </w:tcBorders>
            <w:noWrap w:val="0"/>
            <w:vAlign w:val="center"/>
          </w:tcPr>
          <w:p w14:paraId="5464D16F">
            <w:pPr>
              <w:rPr>
                <w:rFonts w:hint="default" w:ascii="Times New Roman" w:hAnsi="Times New Roman" w:cs="Times New Roman"/>
              </w:rPr>
            </w:pPr>
          </w:p>
        </w:tc>
        <w:tc>
          <w:tcPr>
            <w:tcW w:w="5598" w:type="dxa"/>
            <w:tcBorders>
              <w:tl2br w:val="nil"/>
              <w:tr2bl w:val="nil"/>
            </w:tcBorders>
            <w:noWrap w:val="0"/>
            <w:vAlign w:val="center"/>
          </w:tcPr>
          <w:p w14:paraId="750CE600">
            <w:pPr>
              <w:rPr>
                <w:rFonts w:hint="default" w:ascii="Times New Roman" w:hAnsi="Times New Roman" w:cs="Times New Roman"/>
              </w:rPr>
            </w:pPr>
            <w:r>
              <w:rPr>
                <w:rFonts w:hint="default" w:ascii="Times New Roman" w:hAnsi="Times New Roman" w:cs="Times New Roman"/>
                <w:lang w:val="en-US" w:eastAsia="zh-CN"/>
              </w:rPr>
              <w:t>我单位在参与本项目（单一来源采购项目除外）时，不存在同时为本项目提供整体设计、规范编制或者项目管理、监理、检测等服务的行为。</w:t>
            </w:r>
          </w:p>
        </w:tc>
        <w:tc>
          <w:tcPr>
            <w:tcW w:w="1553" w:type="dxa"/>
            <w:tcBorders>
              <w:tl2br w:val="nil"/>
              <w:tr2bl w:val="nil"/>
            </w:tcBorders>
            <w:noWrap/>
            <w:vAlign w:val="center"/>
          </w:tcPr>
          <w:p w14:paraId="631E9FF7">
            <w:pPr>
              <w:jc w:val="center"/>
              <w:rPr>
                <w:rFonts w:hint="default" w:ascii="Times New Roman" w:hAnsi="Times New Roman" w:cs="Times New Roman"/>
                <w:lang w:val="en-US" w:eastAsia="zh-CN"/>
              </w:rPr>
            </w:pPr>
            <w:r>
              <w:rPr>
                <w:rFonts w:hint="default" w:ascii="Times New Roman" w:hAnsi="Times New Roman" w:cs="Times New Roman"/>
                <w:lang w:val="en-US" w:eastAsia="zh-CN"/>
              </w:rPr>
              <w:sym w:font="Wingdings" w:char="00A8"/>
            </w:r>
            <w:r>
              <w:rPr>
                <w:rFonts w:hint="default" w:ascii="Times New Roman" w:hAnsi="Times New Roman" w:cs="Times New Roman"/>
                <w:lang w:val="en-US" w:eastAsia="zh-CN"/>
              </w:rPr>
              <w:t>是；</w:t>
            </w:r>
            <w:r>
              <w:rPr>
                <w:rFonts w:hint="default" w:ascii="Times New Roman" w:hAnsi="Times New Roman" w:cs="Times New Roman"/>
                <w:lang w:val="en-US" w:eastAsia="zh-CN"/>
              </w:rPr>
              <w:sym w:font="Wingdings" w:char="00A8"/>
            </w:r>
            <w:r>
              <w:rPr>
                <w:rFonts w:hint="default" w:ascii="Times New Roman" w:hAnsi="Times New Roman" w:cs="Times New Roman"/>
                <w:lang w:eastAsia="zh-CN"/>
              </w:rPr>
              <w:t>否</w:t>
            </w:r>
          </w:p>
        </w:tc>
      </w:tr>
      <w:tr w14:paraId="4D9579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15" w:hRule="atLeast"/>
        </w:trPr>
        <w:tc>
          <w:tcPr>
            <w:tcW w:w="743" w:type="dxa"/>
            <w:tcBorders>
              <w:top w:val="single" w:color="000000" w:sz="4" w:space="0"/>
              <w:left w:val="single" w:color="000000" w:sz="4" w:space="0"/>
              <w:bottom w:val="single" w:color="000000" w:sz="4" w:space="0"/>
              <w:right w:val="single" w:color="000000" w:sz="4" w:space="0"/>
              <w:tl2br w:val="nil"/>
              <w:tr2bl w:val="nil"/>
            </w:tcBorders>
            <w:noWrap/>
            <w:vAlign w:val="center"/>
          </w:tcPr>
          <w:p w14:paraId="30A67529">
            <w:pPr>
              <w:jc w:val="center"/>
              <w:rPr>
                <w:rFonts w:hint="default" w:ascii="Times New Roman" w:hAnsi="Times New Roman" w:cs="Times New Roman"/>
                <w:lang w:val="en-US" w:eastAsia="zh-CN"/>
              </w:rPr>
            </w:pPr>
            <w:r>
              <w:rPr>
                <w:rFonts w:hint="default" w:ascii="Times New Roman" w:hAnsi="Times New Roman" w:cs="Times New Roman"/>
                <w:lang w:val="en-US" w:eastAsia="zh-CN"/>
              </w:rPr>
              <w:t>16</w:t>
            </w:r>
          </w:p>
        </w:tc>
        <w:tc>
          <w:tcPr>
            <w:tcW w:w="637" w:type="dxa"/>
            <w:vMerge w:val="continue"/>
            <w:tcBorders>
              <w:left w:val="single" w:color="000000" w:sz="4" w:space="0"/>
              <w:bottom w:val="nil"/>
              <w:right w:val="single" w:color="000000" w:sz="4" w:space="0"/>
              <w:tl2br w:val="nil"/>
              <w:tr2bl w:val="nil"/>
            </w:tcBorders>
            <w:noWrap w:val="0"/>
            <w:vAlign w:val="center"/>
          </w:tcPr>
          <w:p w14:paraId="44AF6950">
            <w:pPr>
              <w:rPr>
                <w:rFonts w:hint="default" w:ascii="Times New Roman" w:hAnsi="Times New Roman" w:cs="Times New Roman"/>
              </w:rPr>
            </w:pPr>
          </w:p>
        </w:tc>
        <w:tc>
          <w:tcPr>
            <w:tcW w:w="559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14:paraId="58743A0D">
            <w:pPr>
              <w:rPr>
                <w:rFonts w:hint="default" w:ascii="Times New Roman" w:hAnsi="Times New Roman" w:cs="Times New Roman"/>
                <w:lang w:val="en-US" w:eastAsia="zh-CN"/>
              </w:rPr>
            </w:pPr>
            <w:r>
              <w:rPr>
                <w:rFonts w:hint="default" w:ascii="Times New Roman" w:hAnsi="Times New Roman" w:cs="Times New Roman"/>
                <w:lang w:val="en-US" w:eastAsia="zh-CN"/>
              </w:rPr>
              <w:t>我单位在本项目中，□是□否 委托第三方（人）代为办理或从生产厂家、代理商等第三方（人）间接取得投标文件涉及的检验检测报告、证书、证明等材料。</w:t>
            </w:r>
          </w:p>
        </w:tc>
        <w:tc>
          <w:tcPr>
            <w:tcW w:w="1553" w:type="dxa"/>
            <w:tcBorders>
              <w:top w:val="single" w:color="000000" w:sz="4" w:space="0"/>
              <w:left w:val="single" w:color="000000" w:sz="4" w:space="0"/>
              <w:bottom w:val="single" w:color="000000" w:sz="4" w:space="0"/>
              <w:right w:val="single" w:color="000000" w:sz="4" w:space="0"/>
              <w:tl2br w:val="nil"/>
              <w:tr2bl w:val="nil"/>
            </w:tcBorders>
            <w:noWrap/>
            <w:vAlign w:val="center"/>
          </w:tcPr>
          <w:p w14:paraId="70CCFDF2">
            <w:pPr>
              <w:jc w:val="center"/>
              <w:rPr>
                <w:rFonts w:hint="default" w:ascii="Times New Roman" w:hAnsi="Times New Roman" w:cs="Times New Roman"/>
                <w:lang w:val="en-US" w:eastAsia="zh-CN"/>
              </w:rPr>
            </w:pPr>
            <w:r>
              <w:rPr>
                <w:rFonts w:hint="default" w:ascii="Times New Roman" w:hAnsi="Times New Roman" w:cs="Times New Roman"/>
                <w:lang w:val="en-US" w:eastAsia="zh-CN"/>
              </w:rPr>
              <w:sym w:font="Wingdings" w:char="00A8"/>
            </w:r>
            <w:r>
              <w:rPr>
                <w:rFonts w:hint="default" w:ascii="Times New Roman" w:hAnsi="Times New Roman" w:cs="Times New Roman"/>
                <w:lang w:val="en-US" w:eastAsia="zh-CN"/>
              </w:rPr>
              <w:t>是；</w:t>
            </w:r>
            <w:r>
              <w:rPr>
                <w:rFonts w:hint="default" w:ascii="Times New Roman" w:hAnsi="Times New Roman" w:cs="Times New Roman"/>
                <w:lang w:val="en-US" w:eastAsia="zh-CN"/>
              </w:rPr>
              <w:sym w:font="Wingdings" w:char="00A8"/>
            </w:r>
            <w:r>
              <w:rPr>
                <w:rFonts w:hint="default" w:ascii="Times New Roman" w:hAnsi="Times New Roman" w:cs="Times New Roman"/>
                <w:lang w:eastAsia="zh-CN"/>
              </w:rPr>
              <w:t>否</w:t>
            </w:r>
          </w:p>
        </w:tc>
      </w:tr>
      <w:tr w14:paraId="52C7BC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090" w:hRule="atLeast"/>
        </w:trPr>
        <w:tc>
          <w:tcPr>
            <w:tcW w:w="8531" w:type="dxa"/>
            <w:gridSpan w:val="4"/>
            <w:tcBorders>
              <w:tl2br w:val="nil"/>
              <w:tr2bl w:val="nil"/>
            </w:tcBorders>
            <w:noWrap/>
            <w:vAlign w:val="center"/>
          </w:tcPr>
          <w:p w14:paraId="4D8296F1">
            <w:pPr>
              <w:rPr>
                <w:rFonts w:hint="default" w:ascii="Times New Roman" w:hAnsi="Times New Roman" w:cs="Times New Roman"/>
                <w:lang w:val="en-US" w:eastAsia="zh-CN"/>
              </w:rPr>
            </w:pPr>
            <w:r>
              <w:rPr>
                <w:rFonts w:hint="default" w:ascii="Times New Roman" w:hAnsi="Times New Roman" w:cs="Times New Roman"/>
                <w:lang w:val="en-US" w:eastAsia="zh-CN"/>
              </w:rPr>
              <w:t>若第16项选择“是”，则投标供应商需要如实填写：</w:t>
            </w:r>
          </w:p>
          <w:p w14:paraId="2BC5A1F0">
            <w:pPr>
              <w:rPr>
                <w:rFonts w:hint="default" w:ascii="Times New Roman" w:hAnsi="Times New Roman" w:cs="Times New Roman"/>
                <w:lang w:val="en-US" w:eastAsia="zh-CN"/>
              </w:rPr>
            </w:pPr>
            <w:r>
              <w:rPr>
                <w:rFonts w:hint="default" w:ascii="Times New Roman" w:hAnsi="Times New Roman" w:cs="Times New Roman"/>
                <w:lang w:val="en-US" w:eastAsia="zh-CN"/>
              </w:rPr>
              <w:t>①相关材料类型（必填）（包括检验检测报告、学历证书、职称证书、社保证明、合同业绩、其他等，以下自行拉列表显示）；</w:t>
            </w:r>
          </w:p>
          <w:p w14:paraId="44168850">
            <w:pPr>
              <w:rPr>
                <w:rFonts w:hint="default" w:ascii="Times New Roman" w:hAnsi="Times New Roman" w:cs="Times New Roman"/>
                <w:lang w:val="en-US" w:eastAsia="zh-CN"/>
              </w:rPr>
            </w:pPr>
            <w:r>
              <w:rPr>
                <w:rFonts w:hint="default" w:ascii="Times New Roman" w:hAnsi="Times New Roman" w:cs="Times New Roman"/>
                <w:lang w:val="en-US" w:eastAsia="zh-CN"/>
              </w:rPr>
              <w:t>②相关材料的名称（必填）（按材料类型填写，不同类型的需分别填写）；</w:t>
            </w:r>
          </w:p>
          <w:p w14:paraId="556631AE">
            <w:pPr>
              <w:rPr>
                <w:rFonts w:hint="default" w:ascii="Times New Roman" w:hAnsi="Times New Roman" w:cs="Times New Roman"/>
                <w:lang w:val="en-US" w:eastAsia="zh-CN"/>
              </w:rPr>
            </w:pPr>
            <w:r>
              <w:rPr>
                <w:rFonts w:hint="default" w:ascii="Times New Roman" w:hAnsi="Times New Roman" w:cs="Times New Roman"/>
                <w:lang w:val="en-US" w:eastAsia="zh-CN"/>
              </w:rPr>
              <w:t>③相关材料出具单位（必填）（按材料类型填写，出具单位即为相关材料的落款单位）；</w:t>
            </w:r>
          </w:p>
          <w:p w14:paraId="093C61D5">
            <w:pPr>
              <w:rPr>
                <w:rFonts w:hint="default" w:ascii="Times New Roman" w:hAnsi="Times New Roman" w:cs="Times New Roman"/>
                <w:lang w:val="en-US" w:eastAsia="zh-CN"/>
              </w:rPr>
            </w:pPr>
            <w:r>
              <w:rPr>
                <w:rFonts w:hint="default" w:ascii="Times New Roman" w:hAnsi="Times New Roman" w:cs="Times New Roman"/>
                <w:lang w:val="en-US" w:eastAsia="zh-CN"/>
              </w:rPr>
              <w:t>④是否向材料出具单位核实材料真实性（必填）（按材料类型填写，以下自行拉列表显示“是”和“否”）；</w:t>
            </w:r>
          </w:p>
          <w:p w14:paraId="478C40CF">
            <w:pPr>
              <w:rPr>
                <w:rFonts w:hint="default" w:ascii="Times New Roman" w:hAnsi="Times New Roman" w:cs="Times New Roman"/>
                <w:lang w:val="en-US" w:eastAsia="zh-CN"/>
              </w:rPr>
            </w:pPr>
            <w:r>
              <w:rPr>
                <w:rFonts w:hint="default" w:ascii="Times New Roman" w:hAnsi="Times New Roman" w:cs="Times New Roman"/>
                <w:lang w:val="en-US" w:eastAsia="zh-CN"/>
              </w:rPr>
              <w:t>⑤第三方（人）的基本信息（必填），（按材料类型填写，以下自行拉列表显示“单位”和“个人”，其中，“单位”需填写单位全称、统一信用代码、联系人及电话，“个人”需填写个人姓名、联系方式）；</w:t>
            </w:r>
          </w:p>
          <w:p w14:paraId="27E072A4">
            <w:pPr>
              <w:rPr>
                <w:rFonts w:hint="default" w:ascii="Times New Roman" w:hAnsi="Times New Roman" w:cs="Times New Roman"/>
                <w:lang w:val="en-US" w:eastAsia="zh-CN"/>
              </w:rPr>
            </w:pPr>
            <w:r>
              <w:rPr>
                <w:rFonts w:hint="default" w:ascii="Times New Roman" w:hAnsi="Times New Roman" w:cs="Times New Roman"/>
                <w:lang w:val="en-US" w:eastAsia="zh-CN"/>
              </w:rPr>
              <w:t>⑥相关材料的编号（选填）（按材料类型填写）；</w:t>
            </w:r>
          </w:p>
          <w:p w14:paraId="4ACB8431">
            <w:pPr>
              <w:rPr>
                <w:rFonts w:hint="default" w:ascii="Times New Roman" w:hAnsi="Times New Roman" w:cs="Times New Roman"/>
                <w:lang w:eastAsia="zh-CN"/>
              </w:rPr>
            </w:pPr>
            <w:r>
              <w:rPr>
                <w:rFonts w:hint="default" w:ascii="Times New Roman" w:hAnsi="Times New Roman" w:cs="Times New Roman"/>
                <w:lang w:val="en-US" w:eastAsia="zh-CN"/>
              </w:rPr>
              <w:t>⑦相关材料出具时间（选填）（按材料类型填写）。</w:t>
            </w:r>
          </w:p>
        </w:tc>
      </w:tr>
      <w:tr w14:paraId="2E0731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50" w:hRule="atLeast"/>
        </w:trPr>
        <w:tc>
          <w:tcPr>
            <w:tcW w:w="8531" w:type="dxa"/>
            <w:gridSpan w:val="4"/>
            <w:tcBorders>
              <w:tl2br w:val="nil"/>
              <w:tr2bl w:val="nil"/>
            </w:tcBorders>
            <w:noWrap/>
            <w:vAlign w:val="center"/>
          </w:tcPr>
          <w:p w14:paraId="4F724C65">
            <w:pPr>
              <w:rPr>
                <w:rFonts w:hint="default" w:ascii="Times New Roman" w:hAnsi="Times New Roman" w:cs="Times New Roman"/>
                <w:lang w:val="en-US" w:eastAsia="zh-CN"/>
              </w:rPr>
            </w:pPr>
            <w:r>
              <w:rPr>
                <w:rFonts w:hint="default" w:ascii="Times New Roman" w:hAnsi="Times New Roman" w:cs="Times New Roman"/>
                <w:b/>
                <w:bCs/>
                <w:color w:val="FF0000"/>
                <w:sz w:val="28"/>
                <w:szCs w:val="36"/>
                <w:lang w:val="en-US" w:eastAsia="zh-CN"/>
              </w:rPr>
              <w:t>说明：</w:t>
            </w:r>
            <w:r>
              <w:rPr>
                <w:rFonts w:hint="default" w:ascii="Times New Roman" w:hAnsi="Times New Roman" w:cs="Times New Roman"/>
                <w:color w:val="FF0000"/>
                <w:lang w:val="en-US" w:eastAsia="zh-CN"/>
              </w:rPr>
              <w:t>投标供应商应如实填写《警示情形自查确认表》，</w:t>
            </w:r>
            <w:r>
              <w:rPr>
                <w:rFonts w:hint="default" w:ascii="Times New Roman" w:hAnsi="Times New Roman" w:eastAsia="宋体" w:cs="Times New Roman"/>
                <w:b/>
                <w:bCs/>
                <w:color w:val="FF0000"/>
                <w:lang w:val="en-US" w:eastAsia="zh-CN"/>
              </w:rPr>
              <w:t>该表仅</w:t>
            </w:r>
            <w:r>
              <w:rPr>
                <w:rFonts w:hint="default" w:ascii="Times New Roman" w:hAnsi="Times New Roman" w:cs="Times New Roman"/>
                <w:b/>
                <w:bCs/>
                <w:color w:val="FF0000"/>
                <w:lang w:val="en-US" w:eastAsia="zh-CN"/>
              </w:rPr>
              <w:t>用于对供应商违法行为的提醒作用，不作为供应商资格性审查及符合性审查条件和依据标准。</w:t>
            </w:r>
          </w:p>
        </w:tc>
      </w:tr>
    </w:tbl>
    <w:p w14:paraId="170EECD2">
      <w:pPr>
        <w:pStyle w:val="19"/>
        <w:rPr>
          <w:rFonts w:hint="default" w:ascii="Times New Roman" w:hAnsi="Times New Roman" w:eastAsia="宋体" w:cs="Times New Roman"/>
          <w:b/>
          <w:szCs w:val="21"/>
          <w:highlight w:val="none"/>
        </w:rPr>
      </w:pPr>
    </w:p>
    <w:p w14:paraId="0BD47844">
      <w:pPr>
        <w:rPr>
          <w:rFonts w:hint="default" w:ascii="Times New Roman" w:hAnsi="Times New Roman" w:cs="Times New Roman"/>
        </w:rPr>
      </w:pPr>
    </w:p>
    <w:p w14:paraId="280B7138">
      <w:pPr>
        <w:pStyle w:val="5"/>
        <w:pageBreakBefore w:val="0"/>
        <w:kinsoku/>
        <w:overflowPunct/>
        <w:topLinePunct w:val="0"/>
        <w:autoSpaceDE/>
        <w:autoSpaceDN/>
        <w:bidi w:val="0"/>
        <w:spacing w:before="0" w:beforeAutospacing="0" w:after="0" w:afterAutospacing="0" w:line="360" w:lineRule="auto"/>
        <w:ind w:left="0" w:leftChars="0" w:right="0" w:firstLine="0" w:firstLineChars="0"/>
        <w:jc w:val="center"/>
        <w:rPr>
          <w:rFonts w:hint="default" w:ascii="Times New Roman" w:hAnsi="Times New Roman" w:eastAsia="宋体" w:cs="Times New Roman"/>
          <w:b w:val="0"/>
          <w:kern w:val="0"/>
          <w:sz w:val="24"/>
          <w:szCs w:val="24"/>
          <w:highlight w:val="none"/>
          <w:lang w:val="en-US" w:eastAsia="zh-CN"/>
        </w:rPr>
      </w:pPr>
      <w:r>
        <w:rPr>
          <w:rFonts w:hint="default" w:ascii="Times New Roman" w:hAnsi="Times New Roman" w:cs="Times New Roman"/>
          <w:b/>
          <w:bCs/>
          <w:sz w:val="32"/>
          <w:szCs w:val="22"/>
          <w:highlight w:val="none"/>
          <w:lang w:val="en-US" w:eastAsia="zh-CN"/>
        </w:rPr>
        <w:t>五、</w:t>
      </w:r>
      <w:bookmarkStart w:id="64" w:name="_Hlk72092634"/>
      <w:r>
        <w:rPr>
          <w:rFonts w:hint="default" w:ascii="Times New Roman" w:hAnsi="Times New Roman" w:cs="Times New Roman"/>
          <w:b/>
          <w:bCs/>
          <w:sz w:val="32"/>
          <w:szCs w:val="22"/>
          <w:highlight w:val="none"/>
          <w:lang w:val="en-US" w:eastAsia="zh-CN"/>
        </w:rPr>
        <w:t>实质性条款响应情况表</w:t>
      </w:r>
      <w:bookmarkEnd w:id="64"/>
      <w:r>
        <w:rPr>
          <w:rFonts w:hint="default" w:ascii="Times New Roman" w:hAnsi="Times New Roman" w:cs="Times New Roman"/>
          <w:b/>
          <w:bCs/>
          <w:sz w:val="32"/>
          <w:szCs w:val="22"/>
          <w:highlight w:val="none"/>
          <w:lang w:val="en-US" w:eastAsia="zh-CN"/>
        </w:rPr>
        <w:t xml:space="preserve"> </w:t>
      </w:r>
      <w:r>
        <w:rPr>
          <w:rFonts w:hint="default" w:ascii="Times New Roman" w:hAnsi="Times New Roman" w:cs="Times New Roman"/>
          <w:b w:val="0"/>
          <w:kern w:val="0"/>
          <w:sz w:val="24"/>
          <w:szCs w:val="24"/>
          <w:highlight w:val="none"/>
          <w:lang w:val="en-US" w:eastAsia="zh-CN"/>
        </w:rPr>
        <w:t xml:space="preserve">   </w:t>
      </w:r>
    </w:p>
    <w:tbl>
      <w:tblPr>
        <w:tblStyle w:val="45"/>
        <w:tblW w:w="821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5"/>
        <w:gridCol w:w="2664"/>
        <w:gridCol w:w="1588"/>
        <w:gridCol w:w="1842"/>
        <w:gridCol w:w="1418"/>
      </w:tblGrid>
      <w:tr w14:paraId="328C77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1" w:hRule="atLeast"/>
        </w:trPr>
        <w:tc>
          <w:tcPr>
            <w:tcW w:w="705" w:type="dxa"/>
            <w:vAlign w:val="center"/>
          </w:tcPr>
          <w:p w14:paraId="4C292881">
            <w:pPr>
              <w:pageBreakBefore w:val="0"/>
              <w:kinsoku/>
              <w:overflowPunct/>
              <w:topLinePunct w:val="0"/>
              <w:autoSpaceDE/>
              <w:autoSpaceDN/>
              <w:bidi w:val="0"/>
              <w:adjustRightInd w:val="0"/>
              <w:snapToGrid w:val="0"/>
              <w:spacing w:beforeAutospacing="0" w:afterAutospacing="0" w:line="360" w:lineRule="auto"/>
              <w:ind w:left="0" w:leftChars="0" w:right="0" w:firstLine="0" w:firstLineChars="0"/>
              <w:jc w:val="center"/>
              <w:rPr>
                <w:rFonts w:hint="default" w:ascii="Times New Roman" w:hAnsi="Times New Roman" w:eastAsia="宋体" w:cs="Times New Roman"/>
                <w:kern w:val="0"/>
                <w:szCs w:val="21"/>
                <w:highlight w:val="none"/>
              </w:rPr>
            </w:pPr>
            <w:bookmarkStart w:id="65" w:name="_Hlk72092651"/>
            <w:r>
              <w:rPr>
                <w:rFonts w:hint="default" w:ascii="Times New Roman" w:hAnsi="Times New Roman" w:eastAsia="宋体" w:cs="Times New Roman"/>
                <w:kern w:val="0"/>
                <w:szCs w:val="21"/>
                <w:highlight w:val="none"/>
              </w:rPr>
              <w:t>序号</w:t>
            </w:r>
          </w:p>
        </w:tc>
        <w:tc>
          <w:tcPr>
            <w:tcW w:w="2664" w:type="dxa"/>
            <w:vAlign w:val="center"/>
          </w:tcPr>
          <w:p w14:paraId="42E15219">
            <w:pPr>
              <w:pageBreakBefore w:val="0"/>
              <w:kinsoku/>
              <w:overflowPunct/>
              <w:topLinePunct w:val="0"/>
              <w:autoSpaceDE/>
              <w:autoSpaceDN/>
              <w:bidi w:val="0"/>
              <w:adjustRightInd w:val="0"/>
              <w:snapToGrid w:val="0"/>
              <w:spacing w:beforeAutospacing="0" w:afterAutospacing="0" w:line="360" w:lineRule="auto"/>
              <w:ind w:left="0" w:leftChars="0" w:right="0" w:firstLine="0" w:firstLineChars="0"/>
              <w:jc w:val="center"/>
              <w:rPr>
                <w:rFonts w:hint="default" w:ascii="Times New Roman" w:hAnsi="Times New Roman" w:eastAsia="宋体" w:cs="Times New Roman"/>
                <w:kern w:val="0"/>
                <w:szCs w:val="21"/>
                <w:highlight w:val="none"/>
              </w:rPr>
            </w:pPr>
            <w:r>
              <w:rPr>
                <w:rFonts w:hint="default" w:ascii="Times New Roman" w:hAnsi="Times New Roman" w:eastAsia="宋体" w:cs="Times New Roman"/>
                <w:kern w:val="0"/>
                <w:szCs w:val="21"/>
                <w:highlight w:val="none"/>
              </w:rPr>
              <w:t>实质性条款具体内容</w:t>
            </w:r>
          </w:p>
        </w:tc>
        <w:tc>
          <w:tcPr>
            <w:tcW w:w="1588" w:type="dxa"/>
            <w:vAlign w:val="center"/>
          </w:tcPr>
          <w:p w14:paraId="68901500">
            <w:pPr>
              <w:pageBreakBefore w:val="0"/>
              <w:kinsoku/>
              <w:overflowPunct/>
              <w:topLinePunct w:val="0"/>
              <w:autoSpaceDE/>
              <w:autoSpaceDN/>
              <w:bidi w:val="0"/>
              <w:adjustRightInd w:val="0"/>
              <w:snapToGrid w:val="0"/>
              <w:spacing w:beforeAutospacing="0" w:afterAutospacing="0" w:line="360" w:lineRule="auto"/>
              <w:ind w:left="0" w:leftChars="0" w:right="0" w:firstLine="0" w:firstLineChars="0"/>
              <w:jc w:val="center"/>
              <w:rPr>
                <w:rFonts w:hint="default" w:ascii="Times New Roman" w:hAnsi="Times New Roman" w:eastAsia="宋体" w:cs="Times New Roman"/>
                <w:kern w:val="0"/>
                <w:szCs w:val="21"/>
                <w:highlight w:val="none"/>
              </w:rPr>
            </w:pPr>
            <w:r>
              <w:rPr>
                <w:rFonts w:hint="default" w:ascii="Times New Roman" w:hAnsi="Times New Roman" w:eastAsia="宋体" w:cs="Times New Roman"/>
                <w:highlight w:val="none"/>
              </w:rPr>
              <w:t>投标响应</w:t>
            </w:r>
          </w:p>
        </w:tc>
        <w:tc>
          <w:tcPr>
            <w:tcW w:w="1842" w:type="dxa"/>
            <w:vAlign w:val="center"/>
          </w:tcPr>
          <w:p w14:paraId="4E29B23D">
            <w:pPr>
              <w:pageBreakBefore w:val="0"/>
              <w:kinsoku/>
              <w:overflowPunct/>
              <w:topLinePunct w:val="0"/>
              <w:autoSpaceDE/>
              <w:autoSpaceDN/>
              <w:bidi w:val="0"/>
              <w:adjustRightInd w:val="0"/>
              <w:snapToGrid w:val="0"/>
              <w:spacing w:beforeAutospacing="0" w:afterAutospacing="0" w:line="360" w:lineRule="auto"/>
              <w:ind w:left="0" w:leftChars="0" w:right="0" w:firstLine="0" w:firstLineChars="0"/>
              <w:jc w:val="center"/>
              <w:rPr>
                <w:rFonts w:hint="default" w:ascii="Times New Roman" w:hAnsi="Times New Roman" w:eastAsia="宋体" w:cs="Times New Roman"/>
                <w:kern w:val="0"/>
                <w:szCs w:val="21"/>
                <w:highlight w:val="none"/>
              </w:rPr>
            </w:pPr>
            <w:r>
              <w:rPr>
                <w:rFonts w:hint="default" w:ascii="Times New Roman" w:hAnsi="Times New Roman" w:eastAsia="宋体" w:cs="Times New Roman"/>
                <w:highlight w:val="none"/>
              </w:rPr>
              <w:t>偏离情况</w:t>
            </w:r>
          </w:p>
        </w:tc>
        <w:tc>
          <w:tcPr>
            <w:tcW w:w="1418" w:type="dxa"/>
            <w:vAlign w:val="center"/>
          </w:tcPr>
          <w:p w14:paraId="48AE1D43">
            <w:pPr>
              <w:pageBreakBefore w:val="0"/>
              <w:kinsoku/>
              <w:overflowPunct/>
              <w:topLinePunct w:val="0"/>
              <w:autoSpaceDE/>
              <w:autoSpaceDN/>
              <w:bidi w:val="0"/>
              <w:adjustRightInd w:val="0"/>
              <w:snapToGrid w:val="0"/>
              <w:spacing w:beforeAutospacing="0" w:afterAutospacing="0" w:line="360" w:lineRule="auto"/>
              <w:ind w:left="0" w:leftChars="0" w:right="0" w:firstLine="0" w:firstLineChars="0"/>
              <w:jc w:val="center"/>
              <w:rPr>
                <w:rFonts w:hint="default" w:ascii="Times New Roman" w:hAnsi="Times New Roman" w:eastAsia="宋体" w:cs="Times New Roman"/>
                <w:kern w:val="0"/>
                <w:szCs w:val="21"/>
                <w:highlight w:val="none"/>
              </w:rPr>
            </w:pPr>
            <w:r>
              <w:rPr>
                <w:rFonts w:hint="default" w:ascii="Times New Roman" w:hAnsi="Times New Roman" w:eastAsia="宋体" w:cs="Times New Roman"/>
                <w:highlight w:val="none"/>
              </w:rPr>
              <w:t>说明</w:t>
            </w:r>
          </w:p>
        </w:tc>
      </w:tr>
      <w:bookmarkEnd w:id="65"/>
      <w:tr w14:paraId="18709B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5" w:type="dxa"/>
          </w:tcPr>
          <w:p w14:paraId="561443F0">
            <w:pPr>
              <w:pageBreakBefore w:val="0"/>
              <w:kinsoku/>
              <w:overflowPunct/>
              <w:topLinePunct w:val="0"/>
              <w:autoSpaceDE/>
              <w:autoSpaceDN/>
              <w:bidi w:val="0"/>
              <w:adjustRightInd w:val="0"/>
              <w:snapToGrid w:val="0"/>
              <w:spacing w:beforeAutospacing="0" w:afterAutospacing="0" w:line="360" w:lineRule="auto"/>
              <w:ind w:left="0" w:leftChars="0" w:right="0" w:firstLine="0" w:firstLineChars="0"/>
              <w:rPr>
                <w:rFonts w:hint="default" w:ascii="Times New Roman" w:hAnsi="Times New Roman" w:eastAsia="宋体" w:cs="Times New Roman"/>
                <w:kern w:val="0"/>
                <w:szCs w:val="21"/>
                <w:highlight w:val="none"/>
              </w:rPr>
            </w:pPr>
            <w:r>
              <w:rPr>
                <w:rFonts w:hint="default" w:ascii="Times New Roman" w:hAnsi="Times New Roman" w:eastAsia="宋体" w:cs="Times New Roman"/>
                <w:kern w:val="0"/>
                <w:szCs w:val="21"/>
                <w:highlight w:val="none"/>
              </w:rPr>
              <w:t>1</w:t>
            </w:r>
          </w:p>
        </w:tc>
        <w:tc>
          <w:tcPr>
            <w:tcW w:w="2664" w:type="dxa"/>
            <w:vAlign w:val="center"/>
          </w:tcPr>
          <w:p w14:paraId="15F3996B">
            <w:pPr>
              <w:pageBreakBefore w:val="0"/>
              <w:kinsoku/>
              <w:overflowPunct/>
              <w:topLinePunct w:val="0"/>
              <w:autoSpaceDE/>
              <w:autoSpaceDN/>
              <w:bidi w:val="0"/>
              <w:adjustRightInd w:val="0"/>
              <w:snapToGrid w:val="0"/>
              <w:spacing w:beforeAutospacing="0" w:afterAutospacing="0" w:line="360" w:lineRule="auto"/>
              <w:ind w:left="0" w:leftChars="0" w:right="0" w:firstLine="0" w:firstLineChars="0"/>
              <w:jc w:val="center"/>
              <w:rPr>
                <w:rFonts w:hint="default" w:ascii="Times New Roman" w:hAnsi="Times New Roman" w:eastAsia="宋体" w:cs="Times New Roman"/>
                <w:kern w:val="0"/>
                <w:szCs w:val="21"/>
                <w:highlight w:val="none"/>
              </w:rPr>
            </w:pPr>
            <w:r>
              <w:rPr>
                <w:rFonts w:hint="default" w:ascii="Times New Roman" w:hAnsi="Times New Roman" w:eastAsia="宋体" w:cs="Times New Roman"/>
                <w:kern w:val="0"/>
                <w:szCs w:val="21"/>
                <w:highlight w:val="none"/>
              </w:rPr>
              <w:t>（填写相关内容）</w:t>
            </w:r>
          </w:p>
        </w:tc>
        <w:tc>
          <w:tcPr>
            <w:tcW w:w="1588" w:type="dxa"/>
          </w:tcPr>
          <w:p w14:paraId="7FCE9FA3">
            <w:pPr>
              <w:pageBreakBefore w:val="0"/>
              <w:kinsoku/>
              <w:overflowPunct/>
              <w:topLinePunct w:val="0"/>
              <w:autoSpaceDE/>
              <w:autoSpaceDN/>
              <w:bidi w:val="0"/>
              <w:adjustRightInd w:val="0"/>
              <w:snapToGrid w:val="0"/>
              <w:spacing w:beforeAutospacing="0" w:afterAutospacing="0" w:line="360" w:lineRule="auto"/>
              <w:ind w:left="0" w:leftChars="0" w:right="0" w:firstLine="0" w:firstLineChars="0"/>
              <w:rPr>
                <w:rFonts w:hint="default" w:ascii="Times New Roman" w:hAnsi="Times New Roman" w:eastAsia="宋体" w:cs="Times New Roman"/>
                <w:kern w:val="0"/>
                <w:szCs w:val="21"/>
                <w:highlight w:val="none"/>
              </w:rPr>
            </w:pPr>
          </w:p>
        </w:tc>
        <w:tc>
          <w:tcPr>
            <w:tcW w:w="1842" w:type="dxa"/>
          </w:tcPr>
          <w:p w14:paraId="5C56A0E0">
            <w:pPr>
              <w:pageBreakBefore w:val="0"/>
              <w:kinsoku/>
              <w:overflowPunct/>
              <w:topLinePunct w:val="0"/>
              <w:autoSpaceDE/>
              <w:autoSpaceDN/>
              <w:bidi w:val="0"/>
              <w:adjustRightInd w:val="0"/>
              <w:snapToGrid w:val="0"/>
              <w:spacing w:beforeAutospacing="0" w:afterAutospacing="0" w:line="360" w:lineRule="auto"/>
              <w:ind w:left="0" w:leftChars="0" w:right="0" w:firstLine="0" w:firstLineChars="0"/>
              <w:rPr>
                <w:rFonts w:hint="default" w:ascii="Times New Roman" w:hAnsi="Times New Roman" w:eastAsia="宋体" w:cs="Times New Roman"/>
                <w:kern w:val="0"/>
                <w:szCs w:val="21"/>
                <w:highlight w:val="none"/>
              </w:rPr>
            </w:pPr>
          </w:p>
        </w:tc>
        <w:tc>
          <w:tcPr>
            <w:tcW w:w="1418" w:type="dxa"/>
          </w:tcPr>
          <w:p w14:paraId="5C2564AF">
            <w:pPr>
              <w:pageBreakBefore w:val="0"/>
              <w:kinsoku/>
              <w:overflowPunct/>
              <w:topLinePunct w:val="0"/>
              <w:autoSpaceDE/>
              <w:autoSpaceDN/>
              <w:bidi w:val="0"/>
              <w:adjustRightInd w:val="0"/>
              <w:snapToGrid w:val="0"/>
              <w:spacing w:beforeAutospacing="0" w:afterAutospacing="0" w:line="360" w:lineRule="auto"/>
              <w:ind w:left="0" w:leftChars="0" w:right="0" w:firstLine="0" w:firstLineChars="0"/>
              <w:rPr>
                <w:rFonts w:hint="default" w:ascii="Times New Roman" w:hAnsi="Times New Roman" w:eastAsia="宋体" w:cs="Times New Roman"/>
                <w:kern w:val="0"/>
                <w:szCs w:val="21"/>
                <w:highlight w:val="none"/>
              </w:rPr>
            </w:pPr>
          </w:p>
        </w:tc>
      </w:tr>
      <w:tr w14:paraId="7846A8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5" w:type="dxa"/>
          </w:tcPr>
          <w:p w14:paraId="50E3B925">
            <w:pPr>
              <w:pageBreakBefore w:val="0"/>
              <w:kinsoku/>
              <w:overflowPunct/>
              <w:topLinePunct w:val="0"/>
              <w:autoSpaceDE/>
              <w:autoSpaceDN/>
              <w:bidi w:val="0"/>
              <w:adjustRightInd w:val="0"/>
              <w:snapToGrid w:val="0"/>
              <w:spacing w:beforeAutospacing="0" w:afterAutospacing="0" w:line="360" w:lineRule="auto"/>
              <w:ind w:left="0" w:leftChars="0" w:right="0" w:firstLine="0" w:firstLineChars="0"/>
              <w:rPr>
                <w:rFonts w:hint="default" w:ascii="Times New Roman" w:hAnsi="Times New Roman" w:eastAsia="宋体" w:cs="Times New Roman"/>
                <w:kern w:val="0"/>
                <w:szCs w:val="21"/>
                <w:highlight w:val="none"/>
              </w:rPr>
            </w:pPr>
            <w:r>
              <w:rPr>
                <w:rFonts w:hint="default" w:ascii="Times New Roman" w:hAnsi="Times New Roman" w:eastAsia="宋体" w:cs="Times New Roman"/>
                <w:kern w:val="0"/>
                <w:szCs w:val="21"/>
                <w:highlight w:val="none"/>
              </w:rPr>
              <w:t>2</w:t>
            </w:r>
          </w:p>
        </w:tc>
        <w:tc>
          <w:tcPr>
            <w:tcW w:w="2664" w:type="dxa"/>
            <w:vAlign w:val="center"/>
          </w:tcPr>
          <w:p w14:paraId="39E69E70">
            <w:pPr>
              <w:pageBreakBefore w:val="0"/>
              <w:kinsoku/>
              <w:overflowPunct/>
              <w:topLinePunct w:val="0"/>
              <w:autoSpaceDE/>
              <w:autoSpaceDN/>
              <w:bidi w:val="0"/>
              <w:adjustRightInd w:val="0"/>
              <w:snapToGrid w:val="0"/>
              <w:spacing w:beforeAutospacing="0" w:afterAutospacing="0" w:line="360" w:lineRule="auto"/>
              <w:ind w:left="0" w:leftChars="0" w:right="0" w:firstLine="0" w:firstLineChars="0"/>
              <w:jc w:val="center"/>
              <w:rPr>
                <w:rFonts w:hint="default" w:ascii="Times New Roman" w:hAnsi="Times New Roman" w:eastAsia="宋体" w:cs="Times New Roman"/>
                <w:kern w:val="0"/>
                <w:szCs w:val="21"/>
                <w:highlight w:val="none"/>
              </w:rPr>
            </w:pPr>
            <w:r>
              <w:rPr>
                <w:rFonts w:hint="default" w:ascii="Times New Roman" w:hAnsi="Times New Roman" w:eastAsia="宋体" w:cs="Times New Roman"/>
                <w:kern w:val="0"/>
                <w:szCs w:val="21"/>
                <w:highlight w:val="none"/>
              </w:rPr>
              <w:t>（填写相关内容）</w:t>
            </w:r>
          </w:p>
        </w:tc>
        <w:tc>
          <w:tcPr>
            <w:tcW w:w="1588" w:type="dxa"/>
          </w:tcPr>
          <w:p w14:paraId="71ED51F1">
            <w:pPr>
              <w:pageBreakBefore w:val="0"/>
              <w:kinsoku/>
              <w:overflowPunct/>
              <w:topLinePunct w:val="0"/>
              <w:autoSpaceDE/>
              <w:autoSpaceDN/>
              <w:bidi w:val="0"/>
              <w:adjustRightInd w:val="0"/>
              <w:snapToGrid w:val="0"/>
              <w:spacing w:beforeAutospacing="0" w:afterAutospacing="0" w:line="360" w:lineRule="auto"/>
              <w:ind w:left="0" w:leftChars="0" w:right="0" w:firstLine="0" w:firstLineChars="0"/>
              <w:rPr>
                <w:rFonts w:hint="default" w:ascii="Times New Roman" w:hAnsi="Times New Roman" w:eastAsia="宋体" w:cs="Times New Roman"/>
                <w:kern w:val="0"/>
                <w:szCs w:val="21"/>
                <w:highlight w:val="none"/>
              </w:rPr>
            </w:pPr>
          </w:p>
        </w:tc>
        <w:tc>
          <w:tcPr>
            <w:tcW w:w="1842" w:type="dxa"/>
          </w:tcPr>
          <w:p w14:paraId="19886149">
            <w:pPr>
              <w:pageBreakBefore w:val="0"/>
              <w:kinsoku/>
              <w:overflowPunct/>
              <w:topLinePunct w:val="0"/>
              <w:autoSpaceDE/>
              <w:autoSpaceDN/>
              <w:bidi w:val="0"/>
              <w:adjustRightInd w:val="0"/>
              <w:snapToGrid w:val="0"/>
              <w:spacing w:beforeAutospacing="0" w:afterAutospacing="0" w:line="360" w:lineRule="auto"/>
              <w:ind w:left="0" w:leftChars="0" w:right="0" w:firstLine="0" w:firstLineChars="0"/>
              <w:rPr>
                <w:rFonts w:hint="default" w:ascii="Times New Roman" w:hAnsi="Times New Roman" w:eastAsia="宋体" w:cs="Times New Roman"/>
                <w:kern w:val="0"/>
                <w:szCs w:val="21"/>
                <w:highlight w:val="none"/>
              </w:rPr>
            </w:pPr>
          </w:p>
        </w:tc>
        <w:tc>
          <w:tcPr>
            <w:tcW w:w="1418" w:type="dxa"/>
          </w:tcPr>
          <w:p w14:paraId="5D80CB1B">
            <w:pPr>
              <w:pageBreakBefore w:val="0"/>
              <w:kinsoku/>
              <w:overflowPunct/>
              <w:topLinePunct w:val="0"/>
              <w:autoSpaceDE/>
              <w:autoSpaceDN/>
              <w:bidi w:val="0"/>
              <w:adjustRightInd w:val="0"/>
              <w:snapToGrid w:val="0"/>
              <w:spacing w:beforeAutospacing="0" w:afterAutospacing="0" w:line="360" w:lineRule="auto"/>
              <w:ind w:left="0" w:leftChars="0" w:right="0" w:firstLine="0" w:firstLineChars="0"/>
              <w:rPr>
                <w:rFonts w:hint="default" w:ascii="Times New Roman" w:hAnsi="Times New Roman" w:eastAsia="宋体" w:cs="Times New Roman"/>
                <w:kern w:val="0"/>
                <w:szCs w:val="21"/>
                <w:highlight w:val="none"/>
              </w:rPr>
            </w:pPr>
          </w:p>
        </w:tc>
      </w:tr>
      <w:tr w14:paraId="159BE1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5" w:type="dxa"/>
          </w:tcPr>
          <w:p w14:paraId="16E18214">
            <w:pPr>
              <w:pageBreakBefore w:val="0"/>
              <w:kinsoku/>
              <w:overflowPunct/>
              <w:topLinePunct w:val="0"/>
              <w:autoSpaceDE/>
              <w:autoSpaceDN/>
              <w:bidi w:val="0"/>
              <w:adjustRightInd w:val="0"/>
              <w:snapToGrid w:val="0"/>
              <w:spacing w:beforeAutospacing="0" w:afterAutospacing="0" w:line="360" w:lineRule="auto"/>
              <w:ind w:left="0" w:leftChars="0" w:right="0" w:firstLine="0" w:firstLineChars="0"/>
              <w:rPr>
                <w:rFonts w:hint="default" w:ascii="Times New Roman" w:hAnsi="Times New Roman" w:eastAsia="宋体" w:cs="Times New Roman"/>
                <w:kern w:val="0"/>
                <w:szCs w:val="21"/>
                <w:highlight w:val="none"/>
              </w:rPr>
            </w:pPr>
            <w:r>
              <w:rPr>
                <w:rFonts w:hint="default" w:ascii="Times New Roman" w:hAnsi="Times New Roman" w:eastAsia="宋体" w:cs="Times New Roman"/>
                <w:kern w:val="0"/>
                <w:szCs w:val="21"/>
                <w:highlight w:val="none"/>
              </w:rPr>
              <w:t>3</w:t>
            </w:r>
          </w:p>
        </w:tc>
        <w:tc>
          <w:tcPr>
            <w:tcW w:w="2664" w:type="dxa"/>
            <w:vAlign w:val="center"/>
          </w:tcPr>
          <w:p w14:paraId="5BED29F3">
            <w:pPr>
              <w:pageBreakBefore w:val="0"/>
              <w:kinsoku/>
              <w:overflowPunct/>
              <w:topLinePunct w:val="0"/>
              <w:autoSpaceDE/>
              <w:autoSpaceDN/>
              <w:bidi w:val="0"/>
              <w:adjustRightInd w:val="0"/>
              <w:snapToGrid w:val="0"/>
              <w:spacing w:beforeAutospacing="0" w:afterAutospacing="0" w:line="360" w:lineRule="auto"/>
              <w:ind w:left="0" w:leftChars="0" w:right="0" w:firstLine="0" w:firstLineChars="0"/>
              <w:jc w:val="center"/>
              <w:rPr>
                <w:rFonts w:hint="default" w:ascii="Times New Roman" w:hAnsi="Times New Roman" w:eastAsia="宋体" w:cs="Times New Roman"/>
                <w:kern w:val="0"/>
                <w:szCs w:val="21"/>
                <w:highlight w:val="none"/>
              </w:rPr>
            </w:pPr>
            <w:r>
              <w:rPr>
                <w:rFonts w:hint="default" w:ascii="Times New Roman" w:hAnsi="Times New Roman" w:eastAsia="宋体" w:cs="Times New Roman"/>
                <w:kern w:val="0"/>
                <w:szCs w:val="21"/>
                <w:highlight w:val="none"/>
              </w:rPr>
              <w:t>…………</w:t>
            </w:r>
          </w:p>
        </w:tc>
        <w:tc>
          <w:tcPr>
            <w:tcW w:w="1588" w:type="dxa"/>
          </w:tcPr>
          <w:p w14:paraId="263187B3">
            <w:pPr>
              <w:pageBreakBefore w:val="0"/>
              <w:kinsoku/>
              <w:overflowPunct/>
              <w:topLinePunct w:val="0"/>
              <w:autoSpaceDE/>
              <w:autoSpaceDN/>
              <w:bidi w:val="0"/>
              <w:adjustRightInd w:val="0"/>
              <w:snapToGrid w:val="0"/>
              <w:spacing w:beforeAutospacing="0" w:afterAutospacing="0" w:line="360" w:lineRule="auto"/>
              <w:ind w:left="0" w:leftChars="0" w:right="0" w:firstLine="0" w:firstLineChars="0"/>
              <w:rPr>
                <w:rFonts w:hint="default" w:ascii="Times New Roman" w:hAnsi="Times New Roman" w:eastAsia="宋体" w:cs="Times New Roman"/>
                <w:kern w:val="0"/>
                <w:szCs w:val="21"/>
                <w:highlight w:val="none"/>
              </w:rPr>
            </w:pPr>
          </w:p>
        </w:tc>
        <w:tc>
          <w:tcPr>
            <w:tcW w:w="1842" w:type="dxa"/>
          </w:tcPr>
          <w:p w14:paraId="01F73305">
            <w:pPr>
              <w:pageBreakBefore w:val="0"/>
              <w:kinsoku/>
              <w:overflowPunct/>
              <w:topLinePunct w:val="0"/>
              <w:autoSpaceDE/>
              <w:autoSpaceDN/>
              <w:bidi w:val="0"/>
              <w:adjustRightInd w:val="0"/>
              <w:snapToGrid w:val="0"/>
              <w:spacing w:beforeAutospacing="0" w:afterAutospacing="0" w:line="360" w:lineRule="auto"/>
              <w:ind w:left="0" w:leftChars="0" w:right="0" w:firstLine="0" w:firstLineChars="0"/>
              <w:rPr>
                <w:rFonts w:hint="default" w:ascii="Times New Roman" w:hAnsi="Times New Roman" w:eastAsia="宋体" w:cs="Times New Roman"/>
                <w:kern w:val="0"/>
                <w:szCs w:val="21"/>
                <w:highlight w:val="none"/>
              </w:rPr>
            </w:pPr>
          </w:p>
        </w:tc>
        <w:tc>
          <w:tcPr>
            <w:tcW w:w="1418" w:type="dxa"/>
          </w:tcPr>
          <w:p w14:paraId="11648E9A">
            <w:pPr>
              <w:pageBreakBefore w:val="0"/>
              <w:kinsoku/>
              <w:overflowPunct/>
              <w:topLinePunct w:val="0"/>
              <w:autoSpaceDE/>
              <w:autoSpaceDN/>
              <w:bidi w:val="0"/>
              <w:adjustRightInd w:val="0"/>
              <w:snapToGrid w:val="0"/>
              <w:spacing w:beforeAutospacing="0" w:afterAutospacing="0" w:line="360" w:lineRule="auto"/>
              <w:ind w:left="0" w:leftChars="0" w:right="0" w:firstLine="0" w:firstLineChars="0"/>
              <w:rPr>
                <w:rFonts w:hint="default" w:ascii="Times New Roman" w:hAnsi="Times New Roman" w:eastAsia="宋体" w:cs="Times New Roman"/>
                <w:kern w:val="0"/>
                <w:szCs w:val="21"/>
                <w:highlight w:val="none"/>
              </w:rPr>
            </w:pPr>
          </w:p>
        </w:tc>
      </w:tr>
    </w:tbl>
    <w:p w14:paraId="42E593B0">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sz w:val="24"/>
          <w:szCs w:val="22"/>
          <w:highlight w:val="none"/>
        </w:rPr>
      </w:pPr>
    </w:p>
    <w:p w14:paraId="1FC28376">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sz w:val="24"/>
          <w:szCs w:val="22"/>
          <w:highlight w:val="none"/>
        </w:rPr>
      </w:pPr>
      <w:r>
        <w:rPr>
          <w:rFonts w:hint="default" w:ascii="Times New Roman" w:hAnsi="Times New Roman" w:eastAsia="宋体" w:cs="Times New Roman"/>
          <w:b/>
          <w:sz w:val="24"/>
          <w:szCs w:val="22"/>
          <w:highlight w:val="none"/>
        </w:rPr>
        <w:t>注：1. 上表所列各项均为不可负偏离条款。</w:t>
      </w:r>
    </w:p>
    <w:p w14:paraId="339A58BF">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sz w:val="24"/>
          <w:szCs w:val="22"/>
          <w:highlight w:val="none"/>
        </w:rPr>
      </w:pPr>
      <w:r>
        <w:rPr>
          <w:rFonts w:hint="default" w:ascii="Times New Roman" w:hAnsi="Times New Roman" w:eastAsia="宋体" w:cs="Times New Roman"/>
          <w:b/>
          <w:sz w:val="24"/>
          <w:szCs w:val="22"/>
          <w:highlight w:val="none"/>
        </w:rPr>
        <w:t>2.“投标响应”一栏应当详细填写投标人自身响应情况，而不能不合理照搬照抄招实质性条款具体内容。</w:t>
      </w:r>
    </w:p>
    <w:p w14:paraId="5C748A20">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sz w:val="24"/>
          <w:szCs w:val="22"/>
          <w:highlight w:val="none"/>
        </w:rPr>
      </w:pPr>
      <w:r>
        <w:rPr>
          <w:rFonts w:hint="default" w:ascii="Times New Roman" w:hAnsi="Times New Roman" w:eastAsia="宋体" w:cs="Times New Roman"/>
          <w:b/>
          <w:sz w:val="24"/>
          <w:szCs w:val="22"/>
          <w:highlight w:val="none"/>
        </w:rPr>
        <w:t>3.“偏离情况”一栏应填写“正偏离”、“负偏离”或“无偏离”，</w:t>
      </w:r>
      <w:r>
        <w:rPr>
          <w:rFonts w:hint="default" w:ascii="Times New Roman" w:hAnsi="Times New Roman" w:eastAsia="宋体" w:cs="Times New Roman"/>
          <w:b/>
          <w:sz w:val="24"/>
          <w:highlight w:val="none"/>
        </w:rPr>
        <w:t>“正偏离”表示“投标响应优于实质性条款具体内容要求”，“负偏离”表示“投标响应不满足实质性条款具体内容要求”，“无偏离”表示“投标响应与实质性条款具体内容要求一致”。</w:t>
      </w:r>
    </w:p>
    <w:p w14:paraId="422D5CDF">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sz w:val="24"/>
          <w:highlight w:val="none"/>
        </w:rPr>
      </w:pPr>
      <w:r>
        <w:rPr>
          <w:rFonts w:hint="default" w:ascii="Times New Roman" w:hAnsi="Times New Roman" w:eastAsia="宋体" w:cs="Times New Roman"/>
          <w:b/>
          <w:sz w:val="24"/>
          <w:highlight w:val="none"/>
        </w:rPr>
        <w:t>4.评审委员会有权对投标响应情况作出判断（作出评审结论）。</w:t>
      </w:r>
    </w:p>
    <w:p w14:paraId="52B13EF4">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sz w:val="24"/>
          <w:szCs w:val="22"/>
          <w:highlight w:val="none"/>
        </w:rPr>
      </w:pPr>
      <w:r>
        <w:rPr>
          <w:rFonts w:hint="default" w:ascii="Times New Roman" w:hAnsi="Times New Roman" w:eastAsia="宋体" w:cs="Times New Roman"/>
          <w:b/>
          <w:sz w:val="24"/>
          <w:szCs w:val="22"/>
          <w:highlight w:val="none"/>
        </w:rPr>
        <w:t>5.实质性响应条款“投标响应情况”与投标文件其它内容冲突的，以实质性响应条款“投标响应情况”为准。</w:t>
      </w:r>
      <w:bookmarkEnd w:id="62"/>
    </w:p>
    <w:p w14:paraId="5DC8343E">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sz w:val="24"/>
          <w:szCs w:val="22"/>
          <w:highlight w:val="none"/>
        </w:rPr>
      </w:pPr>
    </w:p>
    <w:p w14:paraId="3C525D1F">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highlight w:val="none"/>
        </w:rPr>
      </w:pPr>
    </w:p>
    <w:p w14:paraId="1E815C67">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 w:val="24"/>
          <w:highlight w:val="none"/>
        </w:rPr>
      </w:pPr>
    </w:p>
    <w:p w14:paraId="00B3A431">
      <w:pPr>
        <w:pStyle w:val="5"/>
        <w:pageBreakBefore w:val="0"/>
        <w:kinsoku/>
        <w:overflowPunct/>
        <w:topLinePunct w:val="0"/>
        <w:autoSpaceDE/>
        <w:autoSpaceDN/>
        <w:bidi w:val="0"/>
        <w:spacing w:before="0" w:beforeAutospacing="0" w:after="0" w:afterAutospacing="0" w:line="360" w:lineRule="auto"/>
        <w:ind w:left="0" w:leftChars="0" w:right="0" w:firstLine="0" w:firstLineChars="0"/>
        <w:jc w:val="center"/>
        <w:rPr>
          <w:rFonts w:hint="default" w:ascii="Times New Roman" w:hAnsi="Times New Roman" w:cs="Times New Roman"/>
          <w:b/>
          <w:bCs/>
          <w:sz w:val="32"/>
          <w:szCs w:val="22"/>
          <w:highlight w:val="none"/>
          <w:lang w:val="en-US" w:eastAsia="zh-CN"/>
        </w:rPr>
      </w:pPr>
      <w:r>
        <w:rPr>
          <w:rFonts w:hint="default" w:ascii="Times New Roman" w:hAnsi="Times New Roman" w:cs="Times New Roman"/>
          <w:b/>
          <w:bCs/>
          <w:sz w:val="32"/>
          <w:szCs w:val="22"/>
          <w:highlight w:val="none"/>
          <w:lang w:val="en-US" w:eastAsia="zh-CN"/>
        </w:rPr>
        <w:t>六、</w:t>
      </w:r>
      <w:r>
        <w:rPr>
          <w:rFonts w:hint="default" w:ascii="Times New Roman" w:hAnsi="Times New Roman" w:cs="Times New Roman"/>
          <w:b/>
          <w:bCs/>
          <w:sz w:val="32"/>
          <w:szCs w:val="22"/>
          <w:highlight w:val="yellow"/>
          <w:lang w:val="en-US" w:eastAsia="zh-CN"/>
        </w:rPr>
        <w:t>技术</w:t>
      </w:r>
      <w:r>
        <w:rPr>
          <w:rFonts w:hint="eastAsia" w:ascii="Times New Roman" w:hAnsi="Times New Roman" w:cs="Times New Roman"/>
          <w:b/>
          <w:bCs/>
          <w:sz w:val="32"/>
          <w:szCs w:val="22"/>
          <w:highlight w:val="yellow"/>
          <w:lang w:val="en-US" w:eastAsia="zh-CN"/>
        </w:rPr>
        <w:t>要求</w:t>
      </w:r>
      <w:r>
        <w:rPr>
          <w:rFonts w:hint="default" w:ascii="Times New Roman" w:hAnsi="Times New Roman" w:cs="Times New Roman"/>
          <w:b/>
          <w:bCs/>
          <w:sz w:val="32"/>
          <w:szCs w:val="22"/>
          <w:highlight w:val="yellow"/>
          <w:lang w:val="en-US" w:eastAsia="zh-CN"/>
        </w:rPr>
        <w:t>偏离表</w:t>
      </w:r>
    </w:p>
    <w:tbl>
      <w:tblPr>
        <w:tblStyle w:val="45"/>
        <w:tblW w:w="8754" w:type="dxa"/>
        <w:tblInd w:w="-3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64"/>
        <w:gridCol w:w="772"/>
        <w:gridCol w:w="4605"/>
        <w:gridCol w:w="1575"/>
        <w:gridCol w:w="812"/>
        <w:gridCol w:w="526"/>
      </w:tblGrid>
      <w:tr w14:paraId="64620A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trPr>
        <w:tc>
          <w:tcPr>
            <w:tcW w:w="464" w:type="dxa"/>
            <w:vAlign w:val="center"/>
          </w:tcPr>
          <w:p w14:paraId="5BAFECAA">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sz w:val="24"/>
                <w:highlight w:val="none"/>
              </w:rPr>
              <w:t>序号</w:t>
            </w:r>
          </w:p>
        </w:tc>
        <w:tc>
          <w:tcPr>
            <w:tcW w:w="772" w:type="dxa"/>
            <w:vAlign w:val="center"/>
          </w:tcPr>
          <w:p w14:paraId="0E9CE550">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eastAsia" w:cs="Times New Roman"/>
                <w:sz w:val="24"/>
                <w:highlight w:val="none"/>
                <w:lang w:val="en-US" w:eastAsia="zh-CN"/>
              </w:rPr>
              <w:t>项目名称</w:t>
            </w:r>
          </w:p>
        </w:tc>
        <w:tc>
          <w:tcPr>
            <w:tcW w:w="4605" w:type="dxa"/>
            <w:vAlign w:val="center"/>
          </w:tcPr>
          <w:p w14:paraId="7563C458">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sz w:val="24"/>
                <w:highlight w:val="none"/>
              </w:rPr>
              <w:t>招标技术要求</w:t>
            </w:r>
          </w:p>
        </w:tc>
        <w:tc>
          <w:tcPr>
            <w:tcW w:w="1575" w:type="dxa"/>
            <w:vAlign w:val="center"/>
          </w:tcPr>
          <w:p w14:paraId="0BA0E8E7">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default" w:ascii="Times New Roman" w:hAnsi="Times New Roman" w:eastAsia="宋体" w:cs="Times New Roman"/>
                <w:sz w:val="24"/>
                <w:highlight w:val="none"/>
              </w:rPr>
              <w:t>投标技术</w:t>
            </w:r>
            <w:r>
              <w:rPr>
                <w:rFonts w:hint="default" w:ascii="Times New Roman" w:hAnsi="Times New Roman" w:eastAsia="宋体" w:cs="Times New Roman"/>
                <w:sz w:val="24"/>
                <w:highlight w:val="none"/>
                <w:lang w:eastAsia="zh-CN"/>
              </w:rPr>
              <w:t>响应规格</w:t>
            </w:r>
          </w:p>
        </w:tc>
        <w:tc>
          <w:tcPr>
            <w:tcW w:w="812" w:type="dxa"/>
            <w:vAlign w:val="center"/>
          </w:tcPr>
          <w:p w14:paraId="2A60BD5C">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sz w:val="24"/>
                <w:highlight w:val="none"/>
              </w:rPr>
              <w:t>偏离情况</w:t>
            </w:r>
          </w:p>
        </w:tc>
        <w:tc>
          <w:tcPr>
            <w:tcW w:w="526" w:type="dxa"/>
            <w:vAlign w:val="center"/>
          </w:tcPr>
          <w:p w14:paraId="7A1B98CF">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sz w:val="24"/>
                <w:highlight w:val="none"/>
              </w:rPr>
              <w:t>说明</w:t>
            </w:r>
          </w:p>
        </w:tc>
      </w:tr>
      <w:tr w14:paraId="12AF6F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464" w:type="dxa"/>
            <w:vMerge w:val="restart"/>
            <w:vAlign w:val="center"/>
          </w:tcPr>
          <w:p w14:paraId="0CE3EDC1">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1</w:t>
            </w:r>
          </w:p>
        </w:tc>
        <w:tc>
          <w:tcPr>
            <w:tcW w:w="772" w:type="dxa"/>
            <w:vMerge w:val="restart"/>
            <w:vAlign w:val="center"/>
          </w:tcPr>
          <w:p w14:paraId="2460F8D8">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color w:val="000000" w:themeColor="text1"/>
                <w:szCs w:val="21"/>
                <w:highlight w:val="yellow"/>
                <w14:textFill>
                  <w14:solidFill>
                    <w14:schemeClr w14:val="tx1"/>
                  </w14:solidFill>
                </w14:textFill>
              </w:rPr>
            </w:pPr>
          </w:p>
        </w:tc>
        <w:tc>
          <w:tcPr>
            <w:tcW w:w="4605" w:type="dxa"/>
          </w:tcPr>
          <w:p w14:paraId="10D3A730">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highlight w:val="none"/>
              </w:rPr>
              <w:t>（填写相关内容）</w:t>
            </w:r>
          </w:p>
        </w:tc>
        <w:tc>
          <w:tcPr>
            <w:tcW w:w="1575" w:type="dxa"/>
          </w:tcPr>
          <w:p w14:paraId="3F7C29B4">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812" w:type="dxa"/>
          </w:tcPr>
          <w:p w14:paraId="57DB0931">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526" w:type="dxa"/>
          </w:tcPr>
          <w:p w14:paraId="7371D87A">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color w:val="000000" w:themeColor="text1"/>
                <w:szCs w:val="21"/>
                <w:highlight w:val="none"/>
                <w14:textFill>
                  <w14:solidFill>
                    <w14:schemeClr w14:val="tx1"/>
                  </w14:solidFill>
                </w14:textFill>
              </w:rPr>
            </w:pPr>
          </w:p>
        </w:tc>
      </w:tr>
      <w:tr w14:paraId="0AFA81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464" w:type="dxa"/>
            <w:vMerge w:val="continue"/>
            <w:vAlign w:val="center"/>
          </w:tcPr>
          <w:p w14:paraId="4A130777">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772" w:type="dxa"/>
            <w:vMerge w:val="continue"/>
            <w:vAlign w:val="center"/>
          </w:tcPr>
          <w:p w14:paraId="1354AB2F">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color w:val="000000" w:themeColor="text1"/>
                <w:szCs w:val="21"/>
                <w:highlight w:val="yellow"/>
                <w14:textFill>
                  <w14:solidFill>
                    <w14:schemeClr w14:val="tx1"/>
                  </w14:solidFill>
                </w14:textFill>
              </w:rPr>
            </w:pPr>
          </w:p>
        </w:tc>
        <w:tc>
          <w:tcPr>
            <w:tcW w:w="4605" w:type="dxa"/>
          </w:tcPr>
          <w:p w14:paraId="06FB5D66">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highlight w:val="none"/>
              </w:rPr>
              <w:t>（填写相关内容）</w:t>
            </w:r>
          </w:p>
        </w:tc>
        <w:tc>
          <w:tcPr>
            <w:tcW w:w="1575" w:type="dxa"/>
          </w:tcPr>
          <w:p w14:paraId="3DCE8AFA">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812" w:type="dxa"/>
          </w:tcPr>
          <w:p w14:paraId="6AA24484">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526" w:type="dxa"/>
          </w:tcPr>
          <w:p w14:paraId="15921FD2">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color w:val="000000" w:themeColor="text1"/>
                <w:szCs w:val="21"/>
                <w:highlight w:val="none"/>
                <w14:textFill>
                  <w14:solidFill>
                    <w14:schemeClr w14:val="tx1"/>
                  </w14:solidFill>
                </w14:textFill>
              </w:rPr>
            </w:pPr>
          </w:p>
        </w:tc>
      </w:tr>
      <w:tr w14:paraId="2C72BE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464" w:type="dxa"/>
            <w:vMerge w:val="continue"/>
            <w:vAlign w:val="center"/>
          </w:tcPr>
          <w:p w14:paraId="42B26E0A">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772" w:type="dxa"/>
            <w:vMerge w:val="continue"/>
            <w:vAlign w:val="center"/>
          </w:tcPr>
          <w:p w14:paraId="1EEFA32A">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color w:val="000000" w:themeColor="text1"/>
                <w:szCs w:val="21"/>
                <w:highlight w:val="yellow"/>
                <w14:textFill>
                  <w14:solidFill>
                    <w14:schemeClr w14:val="tx1"/>
                  </w14:solidFill>
                </w14:textFill>
              </w:rPr>
            </w:pPr>
          </w:p>
        </w:tc>
        <w:tc>
          <w:tcPr>
            <w:tcW w:w="4605" w:type="dxa"/>
          </w:tcPr>
          <w:p w14:paraId="02C6D5F2">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highlight w:val="none"/>
              </w:rPr>
              <w:t>（填写相关内容）</w:t>
            </w:r>
          </w:p>
        </w:tc>
        <w:tc>
          <w:tcPr>
            <w:tcW w:w="1575" w:type="dxa"/>
          </w:tcPr>
          <w:p w14:paraId="7354B173">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812" w:type="dxa"/>
          </w:tcPr>
          <w:p w14:paraId="638CABCB">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526" w:type="dxa"/>
          </w:tcPr>
          <w:p w14:paraId="1DCAD5A3">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color w:val="000000" w:themeColor="text1"/>
                <w:szCs w:val="21"/>
                <w:highlight w:val="none"/>
                <w14:textFill>
                  <w14:solidFill>
                    <w14:schemeClr w14:val="tx1"/>
                  </w14:solidFill>
                </w14:textFill>
              </w:rPr>
            </w:pPr>
          </w:p>
        </w:tc>
      </w:tr>
      <w:tr w14:paraId="212517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464" w:type="dxa"/>
            <w:vMerge w:val="continue"/>
            <w:vAlign w:val="center"/>
          </w:tcPr>
          <w:p w14:paraId="09724503">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772" w:type="dxa"/>
            <w:vMerge w:val="continue"/>
            <w:vAlign w:val="center"/>
          </w:tcPr>
          <w:p w14:paraId="5DFCA353">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color w:val="000000" w:themeColor="text1"/>
                <w:szCs w:val="21"/>
                <w:highlight w:val="yellow"/>
                <w14:textFill>
                  <w14:solidFill>
                    <w14:schemeClr w14:val="tx1"/>
                  </w14:solidFill>
                </w14:textFill>
              </w:rPr>
            </w:pPr>
          </w:p>
        </w:tc>
        <w:tc>
          <w:tcPr>
            <w:tcW w:w="4605" w:type="dxa"/>
          </w:tcPr>
          <w:p w14:paraId="77F9802D">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highlight w:val="none"/>
              </w:rPr>
              <w:t>（填写相关内容）</w:t>
            </w:r>
          </w:p>
        </w:tc>
        <w:tc>
          <w:tcPr>
            <w:tcW w:w="1575" w:type="dxa"/>
          </w:tcPr>
          <w:p w14:paraId="4FD79C0B">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812" w:type="dxa"/>
          </w:tcPr>
          <w:p w14:paraId="43F6CA22">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526" w:type="dxa"/>
          </w:tcPr>
          <w:p w14:paraId="190A7D2C">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color w:val="000000" w:themeColor="text1"/>
                <w:szCs w:val="21"/>
                <w:highlight w:val="none"/>
                <w14:textFill>
                  <w14:solidFill>
                    <w14:schemeClr w14:val="tx1"/>
                  </w14:solidFill>
                </w14:textFill>
              </w:rPr>
            </w:pPr>
          </w:p>
        </w:tc>
      </w:tr>
      <w:tr w14:paraId="064681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464" w:type="dxa"/>
            <w:vMerge w:val="continue"/>
            <w:vAlign w:val="center"/>
          </w:tcPr>
          <w:p w14:paraId="15A92258">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772" w:type="dxa"/>
            <w:vMerge w:val="continue"/>
            <w:vAlign w:val="center"/>
          </w:tcPr>
          <w:p w14:paraId="350FC0AD">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color w:val="000000" w:themeColor="text1"/>
                <w:szCs w:val="21"/>
                <w:highlight w:val="yellow"/>
                <w14:textFill>
                  <w14:solidFill>
                    <w14:schemeClr w14:val="tx1"/>
                  </w14:solidFill>
                </w14:textFill>
              </w:rPr>
            </w:pPr>
          </w:p>
        </w:tc>
        <w:tc>
          <w:tcPr>
            <w:tcW w:w="4605" w:type="dxa"/>
          </w:tcPr>
          <w:p w14:paraId="101AE845">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highlight w:val="none"/>
              </w:rPr>
              <w:t>（填写相关内容）</w:t>
            </w:r>
          </w:p>
        </w:tc>
        <w:tc>
          <w:tcPr>
            <w:tcW w:w="1575" w:type="dxa"/>
          </w:tcPr>
          <w:p w14:paraId="3FB81819">
            <w:pPr>
              <w:pageBreakBefore w:val="0"/>
              <w:kinsoku/>
              <w:overflowPunct/>
              <w:topLinePunct w:val="0"/>
              <w:autoSpaceDE/>
              <w:autoSpaceDN/>
              <w:bidi w:val="0"/>
              <w:spacing w:beforeAutospacing="0" w:afterAutospacing="0" w:line="360" w:lineRule="auto"/>
              <w:ind w:left="0" w:leftChars="0" w:right="0" w:firstLine="0" w:firstLineChars="0"/>
              <w:rPr>
                <w:rStyle w:val="49"/>
                <w:rFonts w:hint="default" w:ascii="Times New Roman" w:hAnsi="Times New Roman" w:eastAsia="宋体" w:cs="Times New Roman"/>
                <w:b w:val="0"/>
                <w:bCs w:val="0"/>
                <w:color w:val="000000" w:themeColor="text1"/>
                <w:szCs w:val="21"/>
                <w:highlight w:val="none"/>
                <w14:textFill>
                  <w14:solidFill>
                    <w14:schemeClr w14:val="tx1"/>
                  </w14:solidFill>
                </w14:textFill>
              </w:rPr>
            </w:pPr>
          </w:p>
        </w:tc>
        <w:tc>
          <w:tcPr>
            <w:tcW w:w="812" w:type="dxa"/>
          </w:tcPr>
          <w:p w14:paraId="758B3A05">
            <w:pPr>
              <w:pageBreakBefore w:val="0"/>
              <w:kinsoku/>
              <w:overflowPunct/>
              <w:topLinePunct w:val="0"/>
              <w:autoSpaceDE/>
              <w:autoSpaceDN/>
              <w:bidi w:val="0"/>
              <w:spacing w:beforeAutospacing="0" w:afterAutospacing="0" w:line="360" w:lineRule="auto"/>
              <w:ind w:left="0" w:leftChars="0" w:right="0" w:firstLine="0" w:firstLineChars="0"/>
              <w:rPr>
                <w:rStyle w:val="49"/>
                <w:rFonts w:hint="default" w:ascii="Times New Roman" w:hAnsi="Times New Roman" w:eastAsia="宋体" w:cs="Times New Roman"/>
                <w:b w:val="0"/>
                <w:bCs w:val="0"/>
                <w:color w:val="000000" w:themeColor="text1"/>
                <w:szCs w:val="21"/>
                <w:highlight w:val="none"/>
                <w14:textFill>
                  <w14:solidFill>
                    <w14:schemeClr w14:val="tx1"/>
                  </w14:solidFill>
                </w14:textFill>
              </w:rPr>
            </w:pPr>
          </w:p>
        </w:tc>
        <w:tc>
          <w:tcPr>
            <w:tcW w:w="526" w:type="dxa"/>
          </w:tcPr>
          <w:p w14:paraId="264C87EF">
            <w:pPr>
              <w:pageBreakBefore w:val="0"/>
              <w:kinsoku/>
              <w:overflowPunct/>
              <w:topLinePunct w:val="0"/>
              <w:autoSpaceDE/>
              <w:autoSpaceDN/>
              <w:bidi w:val="0"/>
              <w:spacing w:beforeAutospacing="0" w:afterAutospacing="0" w:line="360" w:lineRule="auto"/>
              <w:ind w:left="0" w:leftChars="0" w:right="0" w:firstLine="0" w:firstLineChars="0"/>
              <w:rPr>
                <w:rStyle w:val="49"/>
                <w:rFonts w:hint="default" w:ascii="Times New Roman" w:hAnsi="Times New Roman" w:eastAsia="宋体" w:cs="Times New Roman"/>
                <w:b w:val="0"/>
                <w:bCs w:val="0"/>
                <w:color w:val="000000" w:themeColor="text1"/>
                <w:szCs w:val="21"/>
                <w:highlight w:val="none"/>
                <w14:textFill>
                  <w14:solidFill>
                    <w14:schemeClr w14:val="tx1"/>
                  </w14:solidFill>
                </w14:textFill>
              </w:rPr>
            </w:pPr>
          </w:p>
        </w:tc>
      </w:tr>
      <w:tr w14:paraId="056561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464" w:type="dxa"/>
            <w:vMerge w:val="continue"/>
            <w:vAlign w:val="center"/>
          </w:tcPr>
          <w:p w14:paraId="52595C8D">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772" w:type="dxa"/>
            <w:vMerge w:val="continue"/>
            <w:vAlign w:val="center"/>
          </w:tcPr>
          <w:p w14:paraId="06FAD7ED">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color w:val="000000" w:themeColor="text1"/>
                <w:szCs w:val="21"/>
                <w:highlight w:val="yellow"/>
                <w14:textFill>
                  <w14:solidFill>
                    <w14:schemeClr w14:val="tx1"/>
                  </w14:solidFill>
                </w14:textFill>
              </w:rPr>
            </w:pPr>
          </w:p>
        </w:tc>
        <w:tc>
          <w:tcPr>
            <w:tcW w:w="4605" w:type="dxa"/>
          </w:tcPr>
          <w:p w14:paraId="6D232490">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w:t>
            </w:r>
          </w:p>
        </w:tc>
        <w:tc>
          <w:tcPr>
            <w:tcW w:w="1575" w:type="dxa"/>
          </w:tcPr>
          <w:p w14:paraId="10D8CAE9">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812" w:type="dxa"/>
          </w:tcPr>
          <w:p w14:paraId="4E13D0EB">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526" w:type="dxa"/>
          </w:tcPr>
          <w:p w14:paraId="4DF229B5">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color w:val="000000" w:themeColor="text1"/>
                <w:szCs w:val="21"/>
                <w:highlight w:val="none"/>
                <w14:textFill>
                  <w14:solidFill>
                    <w14:schemeClr w14:val="tx1"/>
                  </w14:solidFill>
                </w14:textFill>
              </w:rPr>
            </w:pPr>
          </w:p>
        </w:tc>
      </w:tr>
      <w:tr w14:paraId="5E006A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464" w:type="dxa"/>
            <w:vMerge w:val="continue"/>
            <w:vAlign w:val="center"/>
          </w:tcPr>
          <w:p w14:paraId="64F6F9CF">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772" w:type="dxa"/>
            <w:vMerge w:val="continue"/>
            <w:vAlign w:val="center"/>
          </w:tcPr>
          <w:p w14:paraId="618E78BA">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color w:val="000000" w:themeColor="text1"/>
                <w:szCs w:val="21"/>
                <w:highlight w:val="yellow"/>
                <w14:textFill>
                  <w14:solidFill>
                    <w14:schemeClr w14:val="tx1"/>
                  </w14:solidFill>
                </w14:textFill>
              </w:rPr>
            </w:pPr>
          </w:p>
        </w:tc>
        <w:tc>
          <w:tcPr>
            <w:tcW w:w="4605" w:type="dxa"/>
          </w:tcPr>
          <w:p w14:paraId="51397CBC">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
                <w:bCs/>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w:t>
            </w:r>
          </w:p>
        </w:tc>
        <w:tc>
          <w:tcPr>
            <w:tcW w:w="1575" w:type="dxa"/>
          </w:tcPr>
          <w:p w14:paraId="7E9D1CAD">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bCs/>
                <w:color w:val="FF0000"/>
                <w:szCs w:val="21"/>
                <w:highlight w:val="none"/>
              </w:rPr>
            </w:pPr>
          </w:p>
        </w:tc>
        <w:tc>
          <w:tcPr>
            <w:tcW w:w="812" w:type="dxa"/>
          </w:tcPr>
          <w:p w14:paraId="2C261655">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bCs/>
                <w:color w:val="FF0000"/>
                <w:szCs w:val="21"/>
                <w:highlight w:val="none"/>
              </w:rPr>
            </w:pPr>
          </w:p>
        </w:tc>
        <w:tc>
          <w:tcPr>
            <w:tcW w:w="526" w:type="dxa"/>
          </w:tcPr>
          <w:p w14:paraId="7FC4C6E3">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bCs/>
                <w:color w:val="FF0000"/>
                <w:szCs w:val="21"/>
                <w:highlight w:val="none"/>
              </w:rPr>
            </w:pPr>
          </w:p>
        </w:tc>
      </w:tr>
      <w:tr w14:paraId="4D51F2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464" w:type="dxa"/>
            <w:vMerge w:val="continue"/>
            <w:vAlign w:val="center"/>
          </w:tcPr>
          <w:p w14:paraId="30207861">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772" w:type="dxa"/>
            <w:vMerge w:val="continue"/>
            <w:vAlign w:val="center"/>
          </w:tcPr>
          <w:p w14:paraId="3FA3FDBE">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color w:val="000000" w:themeColor="text1"/>
                <w:szCs w:val="21"/>
                <w:highlight w:val="yellow"/>
                <w14:textFill>
                  <w14:solidFill>
                    <w14:schemeClr w14:val="tx1"/>
                  </w14:solidFill>
                </w14:textFill>
              </w:rPr>
            </w:pPr>
          </w:p>
        </w:tc>
        <w:tc>
          <w:tcPr>
            <w:tcW w:w="4605" w:type="dxa"/>
          </w:tcPr>
          <w:p w14:paraId="1964AB97">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w:t>
            </w:r>
          </w:p>
        </w:tc>
        <w:tc>
          <w:tcPr>
            <w:tcW w:w="1575" w:type="dxa"/>
          </w:tcPr>
          <w:p w14:paraId="11A72D89">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812" w:type="dxa"/>
          </w:tcPr>
          <w:p w14:paraId="466F0D3F">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526" w:type="dxa"/>
          </w:tcPr>
          <w:p w14:paraId="10E69CEE">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color w:val="000000" w:themeColor="text1"/>
                <w:szCs w:val="21"/>
                <w:highlight w:val="none"/>
                <w14:textFill>
                  <w14:solidFill>
                    <w14:schemeClr w14:val="tx1"/>
                  </w14:solidFill>
                </w14:textFill>
              </w:rPr>
            </w:pPr>
          </w:p>
        </w:tc>
      </w:tr>
      <w:tr w14:paraId="6CF3DD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 w:hRule="atLeast"/>
        </w:trPr>
        <w:tc>
          <w:tcPr>
            <w:tcW w:w="464" w:type="dxa"/>
            <w:vMerge w:val="restart"/>
            <w:vAlign w:val="center"/>
          </w:tcPr>
          <w:p w14:paraId="327C2DAC">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2</w:t>
            </w:r>
          </w:p>
        </w:tc>
        <w:tc>
          <w:tcPr>
            <w:tcW w:w="772" w:type="dxa"/>
            <w:vMerge w:val="restart"/>
            <w:vAlign w:val="center"/>
          </w:tcPr>
          <w:p w14:paraId="7CC5BF73">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color w:val="000000" w:themeColor="text1"/>
                <w:szCs w:val="21"/>
                <w:highlight w:val="yellow"/>
                <w14:textFill>
                  <w14:solidFill>
                    <w14:schemeClr w14:val="tx1"/>
                  </w14:solidFill>
                </w14:textFill>
              </w:rPr>
            </w:pPr>
          </w:p>
        </w:tc>
        <w:tc>
          <w:tcPr>
            <w:tcW w:w="4605" w:type="dxa"/>
          </w:tcPr>
          <w:p w14:paraId="788343DF">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b/>
                <w:bCs/>
                <w:color w:val="000000" w:themeColor="text1"/>
                <w:szCs w:val="21"/>
                <w:highlight w:val="none"/>
                <w14:textFill>
                  <w14:solidFill>
                    <w14:schemeClr w14:val="tx1"/>
                  </w14:solidFill>
                </w14:textFill>
              </w:rPr>
            </w:pPr>
            <w:r>
              <w:rPr>
                <w:rFonts w:hint="default" w:ascii="Times New Roman" w:hAnsi="Times New Roman" w:eastAsia="宋体" w:cs="Times New Roman"/>
                <w:highlight w:val="none"/>
              </w:rPr>
              <w:t>（填写相关内容）</w:t>
            </w:r>
          </w:p>
        </w:tc>
        <w:tc>
          <w:tcPr>
            <w:tcW w:w="1575" w:type="dxa"/>
          </w:tcPr>
          <w:p w14:paraId="704D6A9A">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bCs/>
                <w:color w:val="FF0000"/>
                <w:szCs w:val="21"/>
                <w:highlight w:val="none"/>
              </w:rPr>
            </w:pPr>
          </w:p>
        </w:tc>
        <w:tc>
          <w:tcPr>
            <w:tcW w:w="812" w:type="dxa"/>
          </w:tcPr>
          <w:p w14:paraId="6E1C094A">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bCs/>
                <w:color w:val="FF0000"/>
                <w:szCs w:val="21"/>
                <w:highlight w:val="none"/>
              </w:rPr>
            </w:pPr>
          </w:p>
        </w:tc>
        <w:tc>
          <w:tcPr>
            <w:tcW w:w="526" w:type="dxa"/>
          </w:tcPr>
          <w:p w14:paraId="1578B5B9">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bCs/>
                <w:color w:val="FF0000"/>
                <w:szCs w:val="21"/>
                <w:highlight w:val="none"/>
              </w:rPr>
            </w:pPr>
          </w:p>
        </w:tc>
      </w:tr>
      <w:tr w14:paraId="4BC112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464" w:type="dxa"/>
            <w:vMerge w:val="continue"/>
          </w:tcPr>
          <w:p w14:paraId="5BFD4971">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772" w:type="dxa"/>
            <w:vMerge w:val="continue"/>
          </w:tcPr>
          <w:p w14:paraId="6B5DA8CF">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4605" w:type="dxa"/>
          </w:tcPr>
          <w:p w14:paraId="2ED95CFD">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highlight w:val="none"/>
              </w:rPr>
              <w:t>（填写相关内容）</w:t>
            </w:r>
          </w:p>
        </w:tc>
        <w:tc>
          <w:tcPr>
            <w:tcW w:w="1575" w:type="dxa"/>
          </w:tcPr>
          <w:p w14:paraId="54B888D5">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812" w:type="dxa"/>
          </w:tcPr>
          <w:p w14:paraId="57DEB673">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526" w:type="dxa"/>
          </w:tcPr>
          <w:p w14:paraId="6BD5BCE0">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color w:val="000000" w:themeColor="text1"/>
                <w:szCs w:val="21"/>
                <w:highlight w:val="none"/>
                <w14:textFill>
                  <w14:solidFill>
                    <w14:schemeClr w14:val="tx1"/>
                  </w14:solidFill>
                </w14:textFill>
              </w:rPr>
            </w:pPr>
          </w:p>
        </w:tc>
      </w:tr>
      <w:tr w14:paraId="5B21DC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 w:hRule="atLeast"/>
        </w:trPr>
        <w:tc>
          <w:tcPr>
            <w:tcW w:w="464" w:type="dxa"/>
            <w:vMerge w:val="continue"/>
          </w:tcPr>
          <w:p w14:paraId="3E123876">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772" w:type="dxa"/>
            <w:vMerge w:val="continue"/>
          </w:tcPr>
          <w:p w14:paraId="49F5D80D">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4605" w:type="dxa"/>
          </w:tcPr>
          <w:p w14:paraId="16021F0E">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highlight w:val="none"/>
              </w:rPr>
              <w:t>（填写相关内容）</w:t>
            </w:r>
          </w:p>
        </w:tc>
        <w:tc>
          <w:tcPr>
            <w:tcW w:w="1575" w:type="dxa"/>
          </w:tcPr>
          <w:p w14:paraId="04F8ADAF">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812" w:type="dxa"/>
          </w:tcPr>
          <w:p w14:paraId="252356CB">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526" w:type="dxa"/>
          </w:tcPr>
          <w:p w14:paraId="42E30BF6">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color w:val="000000" w:themeColor="text1"/>
                <w:szCs w:val="21"/>
                <w:highlight w:val="none"/>
                <w14:textFill>
                  <w14:solidFill>
                    <w14:schemeClr w14:val="tx1"/>
                  </w14:solidFill>
                </w14:textFill>
              </w:rPr>
            </w:pPr>
          </w:p>
        </w:tc>
      </w:tr>
      <w:tr w14:paraId="5BB3A7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64" w:type="dxa"/>
            <w:vMerge w:val="continue"/>
          </w:tcPr>
          <w:p w14:paraId="1CB362E7">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772" w:type="dxa"/>
            <w:vMerge w:val="continue"/>
          </w:tcPr>
          <w:p w14:paraId="2D51A4CC">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4605" w:type="dxa"/>
          </w:tcPr>
          <w:p w14:paraId="1C940A75">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w:t>
            </w:r>
          </w:p>
        </w:tc>
        <w:tc>
          <w:tcPr>
            <w:tcW w:w="1575" w:type="dxa"/>
          </w:tcPr>
          <w:p w14:paraId="652875A6">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812" w:type="dxa"/>
          </w:tcPr>
          <w:p w14:paraId="5032070F">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526" w:type="dxa"/>
          </w:tcPr>
          <w:p w14:paraId="4217820C">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color w:val="000000" w:themeColor="text1"/>
                <w:szCs w:val="21"/>
                <w:highlight w:val="none"/>
                <w14:textFill>
                  <w14:solidFill>
                    <w14:schemeClr w14:val="tx1"/>
                  </w14:solidFill>
                </w14:textFill>
              </w:rPr>
            </w:pPr>
          </w:p>
        </w:tc>
      </w:tr>
      <w:tr w14:paraId="116C39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64" w:type="dxa"/>
            <w:vMerge w:val="restart"/>
            <w:vAlign w:val="center"/>
          </w:tcPr>
          <w:p w14:paraId="49713091">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3</w:t>
            </w:r>
          </w:p>
        </w:tc>
        <w:tc>
          <w:tcPr>
            <w:tcW w:w="772" w:type="dxa"/>
            <w:vMerge w:val="restart"/>
            <w:vAlign w:val="center"/>
          </w:tcPr>
          <w:p w14:paraId="721878F6">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4605" w:type="dxa"/>
          </w:tcPr>
          <w:p w14:paraId="0D9AEEC8">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highlight w:val="none"/>
              </w:rPr>
              <w:t>（填写相关内容）</w:t>
            </w:r>
          </w:p>
        </w:tc>
        <w:tc>
          <w:tcPr>
            <w:tcW w:w="1575" w:type="dxa"/>
          </w:tcPr>
          <w:p w14:paraId="0DF85973">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812" w:type="dxa"/>
          </w:tcPr>
          <w:p w14:paraId="25A79231">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526" w:type="dxa"/>
          </w:tcPr>
          <w:p w14:paraId="7DA7C5A3">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color w:val="000000" w:themeColor="text1"/>
                <w:szCs w:val="21"/>
                <w:highlight w:val="none"/>
                <w14:textFill>
                  <w14:solidFill>
                    <w14:schemeClr w14:val="tx1"/>
                  </w14:solidFill>
                </w14:textFill>
              </w:rPr>
            </w:pPr>
          </w:p>
        </w:tc>
      </w:tr>
      <w:tr w14:paraId="117038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64" w:type="dxa"/>
            <w:vMerge w:val="continue"/>
          </w:tcPr>
          <w:p w14:paraId="31CC33CC">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772" w:type="dxa"/>
            <w:vMerge w:val="continue"/>
          </w:tcPr>
          <w:p w14:paraId="1B70E554">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4605" w:type="dxa"/>
          </w:tcPr>
          <w:p w14:paraId="6CD01E4A">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highlight w:val="none"/>
              </w:rPr>
              <w:t>（填写相关内容）</w:t>
            </w:r>
          </w:p>
        </w:tc>
        <w:tc>
          <w:tcPr>
            <w:tcW w:w="1575" w:type="dxa"/>
          </w:tcPr>
          <w:p w14:paraId="32A87C2C">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812" w:type="dxa"/>
          </w:tcPr>
          <w:p w14:paraId="37D5B6BA">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526" w:type="dxa"/>
          </w:tcPr>
          <w:p w14:paraId="7F33828A">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color w:val="000000" w:themeColor="text1"/>
                <w:szCs w:val="21"/>
                <w:highlight w:val="none"/>
                <w14:textFill>
                  <w14:solidFill>
                    <w14:schemeClr w14:val="tx1"/>
                  </w14:solidFill>
                </w14:textFill>
              </w:rPr>
            </w:pPr>
          </w:p>
        </w:tc>
      </w:tr>
      <w:tr w14:paraId="457113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64" w:type="dxa"/>
            <w:vMerge w:val="continue"/>
          </w:tcPr>
          <w:p w14:paraId="219B26BC">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772" w:type="dxa"/>
            <w:vMerge w:val="continue"/>
          </w:tcPr>
          <w:p w14:paraId="4B490F24">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4605" w:type="dxa"/>
          </w:tcPr>
          <w:p w14:paraId="67D5BE12">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highlight w:val="none"/>
              </w:rPr>
              <w:t>（填写相关内容）</w:t>
            </w:r>
          </w:p>
        </w:tc>
        <w:tc>
          <w:tcPr>
            <w:tcW w:w="1575" w:type="dxa"/>
          </w:tcPr>
          <w:p w14:paraId="0B5ACD64">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812" w:type="dxa"/>
          </w:tcPr>
          <w:p w14:paraId="04F2AAAF">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526" w:type="dxa"/>
          </w:tcPr>
          <w:p w14:paraId="0F21EB23">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color w:val="000000" w:themeColor="text1"/>
                <w:szCs w:val="21"/>
                <w:highlight w:val="none"/>
                <w14:textFill>
                  <w14:solidFill>
                    <w14:schemeClr w14:val="tx1"/>
                  </w14:solidFill>
                </w14:textFill>
              </w:rPr>
            </w:pPr>
          </w:p>
        </w:tc>
      </w:tr>
      <w:tr w14:paraId="0CF700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64" w:type="dxa"/>
            <w:vMerge w:val="continue"/>
          </w:tcPr>
          <w:p w14:paraId="1E63463E">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772" w:type="dxa"/>
            <w:vMerge w:val="continue"/>
          </w:tcPr>
          <w:p w14:paraId="04612E94">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4605" w:type="dxa"/>
          </w:tcPr>
          <w:p w14:paraId="71943E80">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w:t>
            </w:r>
          </w:p>
        </w:tc>
        <w:tc>
          <w:tcPr>
            <w:tcW w:w="1575" w:type="dxa"/>
          </w:tcPr>
          <w:p w14:paraId="4EF19144">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812" w:type="dxa"/>
          </w:tcPr>
          <w:p w14:paraId="3DF50AF0">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526" w:type="dxa"/>
          </w:tcPr>
          <w:p w14:paraId="3E5A29A2">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color w:val="000000" w:themeColor="text1"/>
                <w:szCs w:val="21"/>
                <w:highlight w:val="none"/>
                <w14:textFill>
                  <w14:solidFill>
                    <w14:schemeClr w14:val="tx1"/>
                  </w14:solidFill>
                </w14:textFill>
              </w:rPr>
            </w:pPr>
          </w:p>
        </w:tc>
      </w:tr>
    </w:tbl>
    <w:p w14:paraId="73C2E3A6">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 w:val="24"/>
          <w:highlight w:val="none"/>
        </w:rPr>
      </w:pPr>
    </w:p>
    <w:p w14:paraId="2778DCD9">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 w:val="24"/>
          <w:highlight w:val="none"/>
        </w:rPr>
      </w:pPr>
      <w:bookmarkStart w:id="66" w:name="_Hlk72095977"/>
      <w:r>
        <w:rPr>
          <w:rFonts w:hint="default" w:ascii="Times New Roman" w:hAnsi="Times New Roman" w:eastAsia="宋体" w:cs="Times New Roman"/>
          <w:sz w:val="24"/>
          <w:highlight w:val="none"/>
        </w:rPr>
        <w:t>证明资料【如有的话，提供的证明资料应统一编号（排序），格式自定】</w:t>
      </w:r>
      <w:bookmarkEnd w:id="66"/>
      <w:r>
        <w:rPr>
          <w:rFonts w:hint="default" w:ascii="Times New Roman" w:hAnsi="Times New Roman" w:eastAsia="宋体" w:cs="Times New Roman"/>
          <w:sz w:val="24"/>
          <w:highlight w:val="none"/>
        </w:rPr>
        <w:t>：</w:t>
      </w:r>
    </w:p>
    <w:p w14:paraId="36B95ED6">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sz w:val="24"/>
          <w:highlight w:val="none"/>
        </w:rPr>
      </w:pPr>
    </w:p>
    <w:p w14:paraId="6EA56A9D">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sz w:val="24"/>
          <w:highlight w:val="none"/>
        </w:rPr>
      </w:pPr>
    </w:p>
    <w:p w14:paraId="67B33FF8">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sz w:val="24"/>
          <w:highlight w:val="none"/>
        </w:rPr>
      </w:pPr>
      <w:r>
        <w:rPr>
          <w:rFonts w:hint="default" w:ascii="Times New Roman" w:hAnsi="Times New Roman" w:eastAsia="宋体" w:cs="Times New Roman"/>
          <w:b/>
          <w:sz w:val="24"/>
          <w:highlight w:val="none"/>
        </w:rPr>
        <w:t>《技术要求偏离表》编制指引：</w:t>
      </w:r>
    </w:p>
    <w:p w14:paraId="111712E5">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sz w:val="24"/>
          <w:highlight w:val="none"/>
        </w:rPr>
      </w:pPr>
      <w:r>
        <w:rPr>
          <w:rFonts w:hint="default" w:ascii="Times New Roman" w:hAnsi="Times New Roman" w:eastAsia="宋体" w:cs="Times New Roman"/>
          <w:b/>
          <w:sz w:val="24"/>
          <w:highlight w:val="none"/>
        </w:rPr>
        <w:t>1、技术要求偏离表的序号、名称、招标技术要求等栏目</w:t>
      </w:r>
      <w:bookmarkStart w:id="67" w:name="_Hlk72094407"/>
      <w:r>
        <w:rPr>
          <w:rFonts w:hint="default" w:ascii="Times New Roman" w:hAnsi="Times New Roman" w:eastAsia="宋体" w:cs="Times New Roman"/>
          <w:b/>
          <w:sz w:val="24"/>
          <w:highlight w:val="none"/>
        </w:rPr>
        <w:t>对应“用户需求书”中的“技术要求”章节</w:t>
      </w:r>
      <w:bookmarkEnd w:id="67"/>
      <w:r>
        <w:rPr>
          <w:rFonts w:hint="default" w:ascii="Times New Roman" w:hAnsi="Times New Roman" w:eastAsia="宋体" w:cs="Times New Roman"/>
          <w:b/>
          <w:sz w:val="24"/>
          <w:highlight w:val="none"/>
        </w:rPr>
        <w:t>相关内容。</w:t>
      </w:r>
    </w:p>
    <w:p w14:paraId="5D1E9288">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sz w:val="24"/>
          <w:highlight w:val="none"/>
        </w:rPr>
      </w:pPr>
      <w:r>
        <w:rPr>
          <w:rFonts w:hint="default" w:ascii="Times New Roman" w:hAnsi="Times New Roman" w:eastAsia="宋体" w:cs="Times New Roman"/>
          <w:b/>
          <w:sz w:val="24"/>
          <w:highlight w:val="none"/>
        </w:rPr>
        <w:t>2、“投标技术响应规格”一栏必须一一对照“招标技术要求”，详细填写投标人自身投标的具体参数，而不能不合理照搬照抄招标文件的技术要求，以体现具体响应情况。</w:t>
      </w:r>
    </w:p>
    <w:p w14:paraId="32875F66">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sz w:val="24"/>
          <w:highlight w:val="none"/>
        </w:rPr>
      </w:pPr>
      <w:r>
        <w:rPr>
          <w:rFonts w:hint="default" w:ascii="Times New Roman" w:hAnsi="Times New Roman" w:eastAsia="宋体" w:cs="Times New Roman"/>
          <w:b/>
          <w:sz w:val="24"/>
          <w:highlight w:val="none"/>
        </w:rPr>
        <w:t>3、</w:t>
      </w:r>
      <w:bookmarkStart w:id="68" w:name="_Hlk72158270"/>
      <w:r>
        <w:rPr>
          <w:rFonts w:hint="default" w:ascii="Times New Roman" w:hAnsi="Times New Roman" w:eastAsia="宋体" w:cs="Times New Roman"/>
          <w:b/>
          <w:sz w:val="24"/>
          <w:highlight w:val="none"/>
        </w:rPr>
        <w:t>“偏离情况”</w:t>
      </w:r>
      <w:bookmarkEnd w:id="68"/>
      <w:r>
        <w:rPr>
          <w:rFonts w:hint="default" w:ascii="Times New Roman" w:hAnsi="Times New Roman" w:eastAsia="宋体" w:cs="Times New Roman"/>
          <w:b/>
          <w:sz w:val="24"/>
          <w:highlight w:val="none"/>
        </w:rPr>
        <w:t>一栏填写如实填写“正偏离”、“负偏离”或“无偏离”，其中：</w:t>
      </w:r>
      <w:bookmarkStart w:id="69" w:name="_Hlk72093866"/>
      <w:r>
        <w:rPr>
          <w:rFonts w:hint="default" w:ascii="Times New Roman" w:hAnsi="Times New Roman" w:eastAsia="宋体" w:cs="Times New Roman"/>
          <w:b/>
          <w:sz w:val="24"/>
          <w:highlight w:val="none"/>
        </w:rPr>
        <w:t>“正偏离”表示“投标响应优于招标技术要求”，“负偏离”表示“投标响应不满足招标技术要求”，“无偏离”表示“投标响应与招标技术要求一致”</w:t>
      </w:r>
      <w:bookmarkEnd w:id="69"/>
      <w:r>
        <w:rPr>
          <w:rFonts w:hint="default" w:ascii="Times New Roman" w:hAnsi="Times New Roman" w:eastAsia="宋体" w:cs="Times New Roman"/>
          <w:b/>
          <w:sz w:val="24"/>
          <w:highlight w:val="none"/>
        </w:rPr>
        <w:t>。“投标技术响应规格”对比“招标技术要求”存在响应不全（包括未响应整项招标技术要求或者未响应一项招标技术要求的部分内容），均视为“负偏离”。</w:t>
      </w:r>
    </w:p>
    <w:p w14:paraId="464DA62B">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sz w:val="24"/>
          <w:highlight w:val="none"/>
        </w:rPr>
      </w:pPr>
      <w:r>
        <w:rPr>
          <w:rFonts w:hint="default" w:ascii="Times New Roman" w:hAnsi="Times New Roman" w:eastAsia="宋体" w:cs="Times New Roman"/>
          <w:b/>
          <w:sz w:val="24"/>
          <w:highlight w:val="none"/>
        </w:rPr>
        <w:t>4、未要求提供证明资料的招标技术要求，可以不提供证明资料（如实响应即可）。</w:t>
      </w:r>
    </w:p>
    <w:p w14:paraId="60D2638C">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sz w:val="24"/>
          <w:highlight w:val="none"/>
        </w:rPr>
      </w:pPr>
      <w:r>
        <w:rPr>
          <w:rFonts w:hint="default" w:ascii="Times New Roman" w:hAnsi="Times New Roman" w:eastAsia="宋体" w:cs="Times New Roman"/>
          <w:b/>
          <w:sz w:val="24"/>
          <w:highlight w:val="none"/>
        </w:rPr>
        <w:t>5、</w:t>
      </w:r>
      <w:bookmarkStart w:id="70" w:name="_Hlk72096106"/>
      <w:r>
        <w:rPr>
          <w:rFonts w:hint="default" w:ascii="Times New Roman" w:hAnsi="Times New Roman" w:eastAsia="宋体" w:cs="Times New Roman"/>
          <w:b/>
          <w:sz w:val="24"/>
          <w:highlight w:val="none"/>
        </w:rPr>
        <w:t>证明资料条款响应要求</w:t>
      </w:r>
      <w:bookmarkEnd w:id="70"/>
      <w:r>
        <w:rPr>
          <w:rFonts w:hint="default" w:ascii="Times New Roman" w:hAnsi="Times New Roman" w:eastAsia="宋体" w:cs="Times New Roman"/>
          <w:b/>
          <w:sz w:val="24"/>
          <w:highlight w:val="none"/>
        </w:rPr>
        <w:t>：要求提供证明资料（且已对证明资料的形式、内容作出明确要求）进行响应的条款，应当在“说明”一栏中列明是否提供了符合要求的证明资料，以及所提供证明资料在表后“证明资料”中的编号（位置）,以便评审；</w:t>
      </w:r>
      <w:bookmarkStart w:id="71" w:name="_Hlk73558782"/>
      <w:r>
        <w:rPr>
          <w:rFonts w:hint="default" w:ascii="Times New Roman" w:hAnsi="Times New Roman" w:eastAsia="宋体" w:cs="Times New Roman"/>
          <w:b/>
          <w:sz w:val="24"/>
          <w:highlight w:val="none"/>
        </w:rPr>
        <w:t>此类条款应严格依照要求的形式、内容提供证明资料，如未提供证明资料（或：证明资料的形式、内容等不符合要求；证明资料显示不符合招标技术要求；证明资料模糊不清无法判断或未显示是否满足招标技术要求），</w:t>
      </w:r>
      <w:bookmarkStart w:id="72" w:name="_Hlk73558164"/>
      <w:r>
        <w:rPr>
          <w:rFonts w:hint="default" w:ascii="Times New Roman" w:hAnsi="Times New Roman" w:eastAsia="宋体" w:cs="Times New Roman"/>
          <w:b/>
          <w:sz w:val="24"/>
          <w:highlight w:val="none"/>
        </w:rPr>
        <w:t>且投标人在“偏离情况”一栏响应为“正偏离”或“无偏离”的，经评审委员会认定，将判定为负偏离。</w:t>
      </w:r>
      <w:bookmarkEnd w:id="71"/>
      <w:bookmarkEnd w:id="72"/>
    </w:p>
    <w:p w14:paraId="57D983EC">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sz w:val="24"/>
          <w:highlight w:val="none"/>
        </w:rPr>
      </w:pPr>
      <w:r>
        <w:rPr>
          <w:rFonts w:hint="default" w:ascii="Times New Roman" w:hAnsi="Times New Roman" w:eastAsia="宋体" w:cs="Times New Roman"/>
          <w:b/>
          <w:sz w:val="24"/>
          <w:highlight w:val="none"/>
        </w:rPr>
        <w:t>6、</w:t>
      </w:r>
      <w:bookmarkStart w:id="73" w:name="_Hlk72096137"/>
      <w:r>
        <w:rPr>
          <w:rFonts w:hint="default" w:ascii="Times New Roman" w:hAnsi="Times New Roman" w:eastAsia="宋体" w:cs="Times New Roman"/>
          <w:b/>
          <w:sz w:val="24"/>
          <w:highlight w:val="none"/>
        </w:rPr>
        <w:t>表后“证明资料”部分内容的编制</w:t>
      </w:r>
      <w:bookmarkEnd w:id="73"/>
      <w:r>
        <w:rPr>
          <w:rFonts w:hint="default" w:ascii="Times New Roman" w:hAnsi="Times New Roman" w:eastAsia="宋体" w:cs="Times New Roman"/>
          <w:b/>
          <w:sz w:val="24"/>
          <w:highlight w:val="none"/>
        </w:rPr>
        <w:t>：提供的所有证明资料应当统一编号（排序），且证明资料的编号（顺序）、数量和名称（形式）均应与“说明”一栏所填内容保持一致（一一对应），以便评审委员会查看。</w:t>
      </w:r>
      <w:bookmarkStart w:id="74" w:name="_Hlk73558180"/>
      <w:r>
        <w:rPr>
          <w:rFonts w:hint="default" w:ascii="Times New Roman" w:hAnsi="Times New Roman" w:eastAsia="宋体" w:cs="Times New Roman"/>
          <w:b/>
          <w:sz w:val="24"/>
          <w:highlight w:val="none"/>
        </w:rPr>
        <w:t>未按照招标文件要求在表后放置证明材料的供应商将承担不利后果，经评审委员会认定，相关技术要求将判定为负偏离。</w:t>
      </w:r>
      <w:bookmarkEnd w:id="74"/>
    </w:p>
    <w:p w14:paraId="68C3AF79">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sz w:val="24"/>
          <w:highlight w:val="none"/>
        </w:rPr>
      </w:pPr>
      <w:r>
        <w:rPr>
          <w:rFonts w:hint="default" w:ascii="Times New Roman" w:hAnsi="Times New Roman" w:eastAsia="宋体" w:cs="Times New Roman"/>
          <w:b/>
          <w:sz w:val="24"/>
          <w:highlight w:val="none"/>
        </w:rPr>
        <w:t>7、</w:t>
      </w:r>
      <w:bookmarkStart w:id="75" w:name="_Hlk72096176"/>
      <w:r>
        <w:rPr>
          <w:rFonts w:hint="default" w:ascii="Times New Roman" w:hAnsi="Times New Roman" w:eastAsia="宋体" w:cs="Times New Roman"/>
          <w:b/>
          <w:sz w:val="24"/>
          <w:highlight w:val="none"/>
        </w:rPr>
        <w:t>证明资料的形式及其它具体要求</w:t>
      </w:r>
      <w:bookmarkEnd w:id="75"/>
      <w:r>
        <w:rPr>
          <w:rFonts w:hint="default" w:ascii="Times New Roman" w:hAnsi="Times New Roman" w:eastAsia="宋体" w:cs="Times New Roman"/>
          <w:b/>
          <w:sz w:val="24"/>
          <w:highlight w:val="none"/>
        </w:rPr>
        <w:t>：</w:t>
      </w:r>
    </w:p>
    <w:p w14:paraId="2455C180">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sz w:val="24"/>
          <w:highlight w:val="none"/>
        </w:rPr>
      </w:pPr>
      <w:r>
        <w:rPr>
          <w:rFonts w:hint="default" w:ascii="Times New Roman" w:hAnsi="Times New Roman" w:eastAsia="宋体" w:cs="Times New Roman"/>
          <w:b/>
          <w:sz w:val="24"/>
          <w:highlight w:val="none"/>
        </w:rPr>
        <w:t>（1）除照片、图片（截图）及不需加盖公章的文字说明（技术说明）外，其它证明资料均要求为原件</w:t>
      </w:r>
      <w:r>
        <w:rPr>
          <w:rFonts w:hint="default" w:ascii="Times New Roman" w:hAnsi="Times New Roman" w:cs="Times New Roman"/>
          <w:b/>
          <w:sz w:val="24"/>
          <w:highlight w:val="none"/>
          <w:lang w:eastAsia="zh-CN"/>
        </w:rPr>
        <w:t>复印件</w:t>
      </w:r>
      <w:r>
        <w:rPr>
          <w:rFonts w:hint="default" w:ascii="Times New Roman" w:hAnsi="Times New Roman" w:eastAsia="宋体" w:cs="Times New Roman"/>
          <w:b/>
          <w:sz w:val="24"/>
          <w:highlight w:val="none"/>
        </w:rPr>
        <w:t>；</w:t>
      </w:r>
    </w:p>
    <w:p w14:paraId="77B7A609">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sz w:val="24"/>
          <w:highlight w:val="none"/>
        </w:rPr>
      </w:pPr>
      <w:r>
        <w:rPr>
          <w:rFonts w:hint="default" w:ascii="Times New Roman" w:hAnsi="Times New Roman" w:eastAsia="宋体" w:cs="Times New Roman"/>
          <w:b/>
          <w:sz w:val="24"/>
          <w:highlight w:val="none"/>
        </w:rPr>
        <w:t>（2）提供证明资料的形式包括但不限于：a.制造商公布（出具）的产品说明书、产品彩页；b.我国政府机构出具的产品检验和核准证件等；c.第三方机构出具的检测（检验、测试）报告、认证证书等；已对证明资料的形式、内容作出具体要求的，必须严格按要求的形式、内容提供证明资料；</w:t>
      </w:r>
    </w:p>
    <w:p w14:paraId="31273663">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sz w:val="24"/>
          <w:highlight w:val="none"/>
        </w:rPr>
      </w:pPr>
      <w:r>
        <w:rPr>
          <w:rFonts w:hint="default" w:ascii="Times New Roman" w:hAnsi="Times New Roman" w:eastAsia="宋体" w:cs="Times New Roman"/>
          <w:b/>
          <w:sz w:val="24"/>
          <w:highlight w:val="none"/>
        </w:rPr>
        <w:t>（3）产品说明书或彩页应为制造商公布（出具）的中文产品说明书或彩页；提供外文说明书或彩页的，必须同时提供加盖制造商公章的对应中文翻译说明，评标依据以中文翻译内容为准，外文说明书或彩页仅供参考；产品说明书或彩页的尺寸和清晰度应该能够在电脑上被阅读、识别和判断；</w:t>
      </w:r>
    </w:p>
    <w:p w14:paraId="56DD3984">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sz w:val="24"/>
          <w:highlight w:val="none"/>
        </w:rPr>
      </w:pPr>
      <w:r>
        <w:rPr>
          <w:rFonts w:hint="default" w:ascii="Times New Roman" w:hAnsi="Times New Roman" w:eastAsia="宋体" w:cs="Times New Roman"/>
          <w:b/>
          <w:sz w:val="24"/>
          <w:highlight w:val="none"/>
        </w:rPr>
        <w:t>我国政府机构出具的产品检验和核准证件应为证件正面、背面和附件标注的全部具体内容；产品检验和核准证件的尺寸和清晰度应该能够在电脑上被阅读、识别和判断；</w:t>
      </w:r>
    </w:p>
    <w:p w14:paraId="1A966018">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sz w:val="24"/>
          <w:highlight w:val="none"/>
        </w:rPr>
      </w:pPr>
      <w:r>
        <w:rPr>
          <w:rFonts w:hint="default" w:ascii="Times New Roman" w:hAnsi="Times New Roman" w:eastAsia="宋体" w:cs="Times New Roman"/>
          <w:b/>
          <w:sz w:val="24"/>
          <w:highlight w:val="none"/>
        </w:rPr>
        <w:t>第三方机构出具的检测（检验、测试）报告、认证（证明）证书应为中文报告或证书；提供外文报告或证书的，必须同时提供对应的中文翻译文字说明，评标依据以中文翻译文字说明内容为准，外文报告或证书仅供参考；报告或证书的尺寸和清晰度应该能够在电脑上被阅读、识别和判断；</w:t>
      </w:r>
    </w:p>
    <w:p w14:paraId="2E7E54D5">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sz w:val="24"/>
          <w:highlight w:val="none"/>
        </w:rPr>
      </w:pPr>
      <w:r>
        <w:rPr>
          <w:rFonts w:hint="default" w:ascii="Times New Roman" w:hAnsi="Times New Roman" w:eastAsia="宋体" w:cs="Times New Roman"/>
          <w:b/>
          <w:sz w:val="24"/>
          <w:highlight w:val="none"/>
        </w:rPr>
        <w:t>其它证明资料的形式要求参照以上要求执行；</w:t>
      </w:r>
    </w:p>
    <w:p w14:paraId="611EEE41">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sz w:val="24"/>
          <w:highlight w:val="none"/>
        </w:rPr>
      </w:pPr>
      <w:r>
        <w:rPr>
          <w:rFonts w:hint="default" w:ascii="Times New Roman" w:hAnsi="Times New Roman" w:eastAsia="宋体" w:cs="Times New Roman"/>
          <w:b/>
          <w:sz w:val="24"/>
          <w:highlight w:val="none"/>
        </w:rPr>
        <w:t>（4）证明资料均要求原件备查。</w:t>
      </w:r>
    </w:p>
    <w:p w14:paraId="4B28F1B2">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sz w:val="24"/>
          <w:highlight w:val="none"/>
        </w:rPr>
      </w:pPr>
      <w:r>
        <w:rPr>
          <w:rFonts w:hint="default" w:ascii="Times New Roman" w:hAnsi="Times New Roman" w:eastAsia="宋体" w:cs="Times New Roman"/>
          <w:b/>
          <w:sz w:val="24"/>
          <w:highlight w:val="none"/>
        </w:rPr>
        <w:t>8、其它注意事项：</w:t>
      </w:r>
    </w:p>
    <w:p w14:paraId="2A1854D5">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sz w:val="24"/>
          <w:highlight w:val="none"/>
        </w:rPr>
      </w:pPr>
      <w:r>
        <w:rPr>
          <w:rFonts w:hint="default" w:ascii="Times New Roman" w:hAnsi="Times New Roman" w:eastAsia="宋体" w:cs="Times New Roman"/>
          <w:b/>
          <w:sz w:val="24"/>
          <w:highlight w:val="none"/>
        </w:rPr>
        <w:t>（1）评审委员会有权对投标人的响应情况作出判断（评审结论）；</w:t>
      </w:r>
    </w:p>
    <w:p w14:paraId="74B5263A">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sz w:val="24"/>
          <w:highlight w:val="none"/>
        </w:rPr>
      </w:pPr>
      <w:r>
        <w:rPr>
          <w:rFonts w:hint="default" w:ascii="Times New Roman" w:hAnsi="Times New Roman" w:eastAsia="宋体" w:cs="Times New Roman"/>
          <w:b/>
          <w:sz w:val="24"/>
          <w:highlight w:val="none"/>
        </w:rPr>
        <w:t>（2）</w:t>
      </w:r>
      <w:bookmarkStart w:id="76" w:name="_Hlk72158213"/>
      <w:r>
        <w:rPr>
          <w:rFonts w:hint="default" w:ascii="Times New Roman" w:hAnsi="Times New Roman" w:eastAsia="宋体" w:cs="Times New Roman"/>
          <w:b/>
          <w:sz w:val="24"/>
          <w:highlight w:val="none"/>
        </w:rPr>
        <w:t>评审委员会有权对以谋取中标为目的的技术规格模糊响应（如有意不合理照搬照抄招标文件的技术要求）或虚假响应予以认定，并视情况经</w:t>
      </w:r>
      <w:r>
        <w:rPr>
          <w:rFonts w:hint="default" w:ascii="Times New Roman" w:hAnsi="Times New Roman" w:cs="Times New Roman"/>
          <w:b/>
          <w:sz w:val="24"/>
          <w:highlight w:val="none"/>
          <w:lang w:eastAsia="zh-CN"/>
        </w:rPr>
        <w:t>招标代理机构</w:t>
      </w:r>
      <w:r>
        <w:rPr>
          <w:rFonts w:hint="default" w:ascii="Times New Roman" w:hAnsi="Times New Roman" w:eastAsia="宋体" w:cs="Times New Roman"/>
          <w:b/>
          <w:sz w:val="24"/>
          <w:highlight w:val="none"/>
        </w:rPr>
        <w:t>报主管部门进行处理。</w:t>
      </w:r>
      <w:bookmarkEnd w:id="76"/>
    </w:p>
    <w:p w14:paraId="22181CD0">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sz w:val="24"/>
          <w:highlight w:val="none"/>
        </w:rPr>
      </w:pPr>
    </w:p>
    <w:p w14:paraId="2702768B">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 w:val="24"/>
          <w:highlight w:val="none"/>
        </w:rPr>
      </w:pPr>
    </w:p>
    <w:p w14:paraId="76BB2D37">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sz w:val="24"/>
          <w:highlight w:val="none"/>
        </w:rPr>
      </w:pPr>
    </w:p>
    <w:p w14:paraId="7FCF2A91">
      <w:pPr>
        <w:numPr>
          <w:ilvl w:val="0"/>
          <w:numId w:val="0"/>
        </w:numPr>
        <w:rPr>
          <w:rFonts w:hint="default" w:ascii="Times New Roman" w:hAnsi="Times New Roman" w:cs="Times New Roman"/>
          <w:lang w:val="en-US" w:eastAsia="zh-CN"/>
        </w:rPr>
      </w:pPr>
      <w:bookmarkStart w:id="77" w:name="_Hlk72260576"/>
    </w:p>
    <w:p w14:paraId="1386895E">
      <w:pPr>
        <w:numPr>
          <w:ilvl w:val="0"/>
          <w:numId w:val="0"/>
        </w:numPr>
        <w:ind w:leftChars="0"/>
        <w:jc w:val="center"/>
        <w:rPr>
          <w:rFonts w:hint="default" w:ascii="Times New Roman" w:hAnsi="Times New Roman" w:cs="Times New Roman"/>
          <w:lang w:val="en-US" w:eastAsia="zh-CN"/>
        </w:rPr>
      </w:pPr>
      <w:r>
        <w:rPr>
          <w:rFonts w:hint="eastAsia" w:cs="Times New Roman"/>
          <w:b/>
          <w:bCs/>
          <w:kern w:val="2"/>
          <w:sz w:val="32"/>
          <w:szCs w:val="22"/>
          <w:lang w:val="en-US" w:eastAsia="zh-CN" w:bidi="ar-SA"/>
        </w:rPr>
        <w:t>七、实施方案</w:t>
      </w:r>
    </w:p>
    <w:p w14:paraId="0F7E73C7">
      <w:pPr>
        <w:pStyle w:val="5"/>
        <w:pageBreakBefore w:val="0"/>
        <w:numPr>
          <w:ilvl w:val="0"/>
          <w:numId w:val="0"/>
        </w:numPr>
        <w:kinsoku/>
        <w:overflowPunct/>
        <w:topLinePunct w:val="0"/>
        <w:autoSpaceDE/>
        <w:autoSpaceDN/>
        <w:bidi w:val="0"/>
        <w:spacing w:before="0" w:beforeAutospacing="0" w:after="0" w:afterAutospacing="0" w:line="360" w:lineRule="auto"/>
        <w:ind w:left="0" w:leftChars="0" w:right="0" w:rightChars="0" w:firstLine="0" w:firstLineChars="0"/>
        <w:jc w:val="center"/>
        <w:rPr>
          <w:rFonts w:hint="eastAsia" w:ascii="Times New Roman" w:hAnsi="Times New Roman" w:cs="Times New Roman"/>
          <w:b/>
          <w:bCs/>
          <w:kern w:val="2"/>
          <w:sz w:val="32"/>
          <w:szCs w:val="22"/>
          <w:lang w:val="en-US" w:eastAsia="zh-CN" w:bidi="ar-SA"/>
        </w:rPr>
      </w:pPr>
      <w:r>
        <w:rPr>
          <w:rFonts w:hint="eastAsia" w:ascii="Times New Roman" w:hAnsi="Times New Roman" w:cs="Times New Roman"/>
          <w:b/>
          <w:bCs/>
          <w:kern w:val="2"/>
          <w:sz w:val="32"/>
          <w:szCs w:val="22"/>
          <w:lang w:val="en-US" w:eastAsia="zh-CN" w:bidi="ar-SA"/>
        </w:rPr>
        <w:t>八</w:t>
      </w:r>
      <w:r>
        <w:rPr>
          <w:rFonts w:hint="eastAsia" w:ascii="Times New Roman" w:hAnsi="Times New Roman" w:eastAsia="宋体" w:cs="Times New Roman"/>
          <w:b/>
          <w:bCs/>
          <w:kern w:val="2"/>
          <w:sz w:val="32"/>
          <w:szCs w:val="22"/>
          <w:lang w:val="en-US" w:eastAsia="zh-CN" w:bidi="ar-SA"/>
        </w:rPr>
        <w:t>、</w:t>
      </w:r>
      <w:r>
        <w:rPr>
          <w:rFonts w:hint="eastAsia" w:ascii="Times New Roman" w:hAnsi="Times New Roman" w:cs="Times New Roman"/>
          <w:b/>
          <w:bCs/>
          <w:kern w:val="2"/>
          <w:sz w:val="32"/>
          <w:szCs w:val="22"/>
          <w:lang w:val="en-US" w:eastAsia="zh-CN" w:bidi="ar-SA"/>
        </w:rPr>
        <w:t>质量保障措施及应急方案</w:t>
      </w:r>
    </w:p>
    <w:p w14:paraId="63FA1DA2">
      <w:pPr>
        <w:pStyle w:val="5"/>
        <w:pageBreakBefore w:val="0"/>
        <w:numPr>
          <w:ilvl w:val="0"/>
          <w:numId w:val="0"/>
        </w:numPr>
        <w:kinsoku/>
        <w:overflowPunct/>
        <w:topLinePunct w:val="0"/>
        <w:autoSpaceDE/>
        <w:autoSpaceDN/>
        <w:bidi w:val="0"/>
        <w:spacing w:before="0" w:beforeAutospacing="0" w:after="0" w:afterAutospacing="0" w:line="360" w:lineRule="auto"/>
        <w:ind w:left="0" w:leftChars="0" w:right="0" w:rightChars="0" w:firstLine="0" w:firstLineChars="0"/>
        <w:jc w:val="center"/>
        <w:rPr>
          <w:rFonts w:hint="default" w:ascii="Times New Roman" w:hAnsi="Times New Roman" w:eastAsia="宋体" w:cs="Times New Roman"/>
          <w:b/>
          <w:bCs/>
          <w:sz w:val="32"/>
          <w:szCs w:val="22"/>
          <w:highlight w:val="none"/>
          <w:lang w:val="en-US" w:eastAsia="zh-CN"/>
        </w:rPr>
      </w:pPr>
      <w:r>
        <w:rPr>
          <w:rFonts w:hint="eastAsia" w:ascii="Times New Roman" w:hAnsi="Times New Roman" w:cs="Times New Roman"/>
          <w:b/>
          <w:bCs/>
          <w:kern w:val="2"/>
          <w:sz w:val="32"/>
          <w:szCs w:val="22"/>
          <w:lang w:val="en-US" w:eastAsia="zh-CN" w:bidi="ar-SA"/>
        </w:rPr>
        <w:t>九、</w:t>
      </w:r>
      <w:r>
        <w:rPr>
          <w:rFonts w:hint="default" w:ascii="Times New Roman" w:hAnsi="Times New Roman" w:eastAsia="宋体" w:cs="Times New Roman"/>
          <w:b/>
          <w:bCs/>
          <w:sz w:val="32"/>
          <w:szCs w:val="22"/>
          <w:highlight w:val="none"/>
          <w:lang w:val="en-US" w:eastAsia="zh-CN"/>
        </w:rPr>
        <w:t>违约承诺</w:t>
      </w:r>
    </w:p>
    <w:p w14:paraId="41F06E1D">
      <w:pPr>
        <w:pStyle w:val="5"/>
        <w:pageBreakBefore w:val="0"/>
        <w:numPr>
          <w:ilvl w:val="0"/>
          <w:numId w:val="0"/>
        </w:numPr>
        <w:kinsoku/>
        <w:overflowPunct/>
        <w:topLinePunct w:val="0"/>
        <w:autoSpaceDE/>
        <w:autoSpaceDN/>
        <w:bidi w:val="0"/>
        <w:spacing w:before="0" w:beforeAutospacing="0" w:after="0" w:afterAutospacing="0" w:line="360" w:lineRule="auto"/>
        <w:ind w:left="0" w:leftChars="0" w:right="0" w:rightChars="0" w:firstLine="0" w:firstLineChars="0"/>
        <w:jc w:val="center"/>
        <w:rPr>
          <w:rFonts w:hint="default" w:ascii="Times New Roman" w:hAnsi="Times New Roman" w:eastAsia="宋体" w:cs="Times New Roman"/>
          <w:b/>
          <w:bCs/>
          <w:sz w:val="32"/>
          <w:szCs w:val="22"/>
          <w:highlight w:val="none"/>
          <w:lang w:val="en-US" w:eastAsia="zh-CN"/>
        </w:rPr>
      </w:pPr>
      <w:r>
        <w:rPr>
          <w:rFonts w:hint="eastAsia" w:ascii="Times New Roman" w:hAnsi="Times New Roman" w:cs="Times New Roman"/>
          <w:b/>
          <w:bCs/>
          <w:kern w:val="2"/>
          <w:sz w:val="32"/>
          <w:szCs w:val="22"/>
          <w:lang w:val="en-US" w:eastAsia="zh-CN" w:bidi="ar-SA"/>
        </w:rPr>
        <w:t>十</w:t>
      </w:r>
      <w:r>
        <w:rPr>
          <w:rFonts w:hint="eastAsia" w:ascii="Times New Roman" w:hAnsi="Times New Roman" w:eastAsia="宋体" w:cs="Times New Roman"/>
          <w:b/>
          <w:bCs/>
          <w:kern w:val="2"/>
          <w:sz w:val="32"/>
          <w:szCs w:val="22"/>
          <w:lang w:val="en-US" w:eastAsia="zh-CN" w:bidi="ar-SA"/>
        </w:rPr>
        <w:t>、</w:t>
      </w:r>
      <w:r>
        <w:rPr>
          <w:rFonts w:hint="default" w:ascii="Times New Roman" w:hAnsi="Times New Roman" w:eastAsia="宋体" w:cs="Times New Roman"/>
          <w:b/>
          <w:bCs/>
          <w:sz w:val="32"/>
          <w:szCs w:val="22"/>
          <w:highlight w:val="none"/>
          <w:lang w:val="en-US" w:eastAsia="zh-CN"/>
        </w:rPr>
        <w:t>拟派项目经理（仅限1人）评价</w:t>
      </w:r>
    </w:p>
    <w:p w14:paraId="781AB1AE">
      <w:pPr>
        <w:pStyle w:val="5"/>
        <w:pageBreakBefore w:val="0"/>
        <w:numPr>
          <w:ilvl w:val="0"/>
          <w:numId w:val="0"/>
        </w:numPr>
        <w:kinsoku/>
        <w:overflowPunct/>
        <w:topLinePunct w:val="0"/>
        <w:autoSpaceDE/>
        <w:autoSpaceDN/>
        <w:bidi w:val="0"/>
        <w:spacing w:before="0" w:beforeAutospacing="0" w:after="0" w:afterAutospacing="0" w:line="360" w:lineRule="auto"/>
        <w:ind w:left="0" w:leftChars="0" w:right="0" w:rightChars="0" w:firstLine="0" w:firstLineChars="0"/>
        <w:jc w:val="center"/>
        <w:rPr>
          <w:rFonts w:hint="default" w:ascii="Times New Roman" w:hAnsi="Times New Roman" w:eastAsia="宋体" w:cs="Times New Roman"/>
          <w:b/>
          <w:bCs/>
          <w:sz w:val="32"/>
          <w:szCs w:val="22"/>
          <w:highlight w:val="none"/>
          <w:lang w:val="en-US" w:eastAsia="zh-CN"/>
        </w:rPr>
      </w:pPr>
      <w:r>
        <w:rPr>
          <w:rFonts w:hint="eastAsia" w:ascii="Times New Roman" w:hAnsi="Times New Roman" w:cs="Times New Roman"/>
          <w:b/>
          <w:bCs/>
          <w:kern w:val="2"/>
          <w:sz w:val="32"/>
          <w:szCs w:val="22"/>
          <w:lang w:val="en-US" w:eastAsia="zh-CN" w:bidi="ar-SA"/>
        </w:rPr>
        <w:t>十</w:t>
      </w:r>
      <w:r>
        <w:rPr>
          <w:rFonts w:hint="eastAsia" w:ascii="Times New Roman" w:hAnsi="Times New Roman" w:eastAsia="宋体" w:cs="Times New Roman"/>
          <w:b/>
          <w:bCs/>
          <w:kern w:val="2"/>
          <w:sz w:val="32"/>
          <w:szCs w:val="22"/>
          <w:lang w:val="en-US" w:eastAsia="zh-CN" w:bidi="ar-SA"/>
        </w:rPr>
        <w:t>、</w:t>
      </w:r>
      <w:r>
        <w:rPr>
          <w:rFonts w:hint="default" w:ascii="Times New Roman" w:hAnsi="Times New Roman" w:eastAsia="宋体" w:cs="Times New Roman"/>
          <w:b/>
          <w:bCs/>
          <w:sz w:val="32"/>
          <w:szCs w:val="22"/>
          <w:highlight w:val="none"/>
          <w:lang w:val="en-US" w:eastAsia="zh-CN"/>
        </w:rPr>
        <w:t>拟派本项目的服务人员及素质要求</w:t>
      </w:r>
    </w:p>
    <w:p w14:paraId="57959E58">
      <w:pPr>
        <w:pStyle w:val="5"/>
        <w:pageBreakBefore w:val="0"/>
        <w:numPr>
          <w:ilvl w:val="0"/>
          <w:numId w:val="0"/>
        </w:numPr>
        <w:kinsoku/>
        <w:overflowPunct/>
        <w:topLinePunct w:val="0"/>
        <w:autoSpaceDE/>
        <w:autoSpaceDN/>
        <w:bidi w:val="0"/>
        <w:spacing w:before="0" w:beforeAutospacing="0" w:after="0" w:afterAutospacing="0" w:line="360" w:lineRule="auto"/>
        <w:ind w:left="0" w:leftChars="0" w:right="0" w:rightChars="0" w:firstLine="0" w:firstLineChars="0"/>
        <w:jc w:val="center"/>
        <w:rPr>
          <w:rFonts w:hint="default" w:ascii="Times New Roman" w:hAnsi="Times New Roman" w:eastAsia="宋体" w:cs="Times New Roman"/>
          <w:b/>
          <w:bCs/>
          <w:sz w:val="32"/>
          <w:szCs w:val="22"/>
          <w:highlight w:val="none"/>
          <w:lang w:val="en-US" w:eastAsia="zh-CN"/>
        </w:rPr>
      </w:pPr>
      <w:r>
        <w:rPr>
          <w:rFonts w:hint="eastAsia" w:ascii="Times New Roman" w:hAnsi="Times New Roman" w:cs="Times New Roman"/>
          <w:b/>
          <w:bCs/>
          <w:kern w:val="2"/>
          <w:sz w:val="32"/>
          <w:szCs w:val="22"/>
          <w:lang w:val="en-US" w:eastAsia="zh-CN" w:bidi="ar-SA"/>
        </w:rPr>
        <w:t>十一</w:t>
      </w:r>
      <w:r>
        <w:rPr>
          <w:rFonts w:hint="eastAsia" w:ascii="Times New Roman" w:hAnsi="Times New Roman" w:eastAsia="宋体" w:cs="Times New Roman"/>
          <w:b/>
          <w:bCs/>
          <w:kern w:val="2"/>
          <w:sz w:val="32"/>
          <w:szCs w:val="22"/>
          <w:lang w:val="en-US" w:eastAsia="zh-CN" w:bidi="ar-SA"/>
        </w:rPr>
        <w:t>、</w:t>
      </w:r>
      <w:r>
        <w:rPr>
          <w:rFonts w:hint="default" w:ascii="Times New Roman" w:hAnsi="Times New Roman" w:eastAsia="宋体" w:cs="Times New Roman"/>
          <w:b/>
          <w:bCs/>
          <w:sz w:val="32"/>
          <w:szCs w:val="22"/>
          <w:highlight w:val="none"/>
          <w:lang w:val="en-US" w:eastAsia="zh-CN"/>
        </w:rPr>
        <w:t>同类项目业绩</w:t>
      </w:r>
    </w:p>
    <w:p w14:paraId="0A0D89C9">
      <w:pPr>
        <w:pStyle w:val="5"/>
        <w:pageBreakBefore w:val="0"/>
        <w:numPr>
          <w:ilvl w:val="0"/>
          <w:numId w:val="0"/>
        </w:numPr>
        <w:kinsoku/>
        <w:overflowPunct/>
        <w:topLinePunct w:val="0"/>
        <w:autoSpaceDE/>
        <w:autoSpaceDN/>
        <w:bidi w:val="0"/>
        <w:spacing w:before="0" w:beforeAutospacing="0" w:after="0" w:afterAutospacing="0" w:line="360" w:lineRule="auto"/>
        <w:ind w:left="0" w:leftChars="0" w:right="0" w:rightChars="0" w:firstLine="0" w:firstLineChars="0"/>
        <w:jc w:val="center"/>
        <w:rPr>
          <w:rFonts w:hint="default" w:ascii="Times New Roman" w:hAnsi="Times New Roman" w:eastAsia="宋体" w:cs="Times New Roman"/>
          <w:b/>
          <w:bCs/>
          <w:sz w:val="32"/>
          <w:szCs w:val="22"/>
          <w:highlight w:val="none"/>
          <w:lang w:val="en-US" w:eastAsia="zh-CN"/>
        </w:rPr>
      </w:pPr>
      <w:r>
        <w:rPr>
          <w:rFonts w:hint="eastAsia" w:ascii="Times New Roman" w:hAnsi="Times New Roman" w:cs="Times New Roman"/>
          <w:b/>
          <w:bCs/>
          <w:kern w:val="2"/>
          <w:sz w:val="32"/>
          <w:szCs w:val="22"/>
          <w:lang w:val="en-US" w:eastAsia="zh-CN" w:bidi="ar-SA"/>
        </w:rPr>
        <w:t>十二</w:t>
      </w:r>
      <w:r>
        <w:rPr>
          <w:rFonts w:hint="eastAsia" w:ascii="Times New Roman" w:hAnsi="Times New Roman" w:eastAsia="宋体" w:cs="Times New Roman"/>
          <w:b/>
          <w:bCs/>
          <w:kern w:val="2"/>
          <w:sz w:val="32"/>
          <w:szCs w:val="22"/>
          <w:lang w:val="en-US" w:eastAsia="zh-CN" w:bidi="ar-SA"/>
        </w:rPr>
        <w:t>、</w:t>
      </w:r>
      <w:r>
        <w:rPr>
          <w:rFonts w:hint="default" w:ascii="Times New Roman" w:hAnsi="Times New Roman" w:eastAsia="宋体" w:cs="Times New Roman"/>
          <w:b/>
          <w:bCs/>
          <w:sz w:val="32"/>
          <w:szCs w:val="22"/>
          <w:highlight w:val="none"/>
          <w:lang w:val="en-US" w:eastAsia="zh-CN"/>
        </w:rPr>
        <w:t>投标人体系认证情况</w:t>
      </w:r>
    </w:p>
    <w:p w14:paraId="2CE57D9B">
      <w:pPr>
        <w:rPr>
          <w:rFonts w:hint="default"/>
          <w:lang w:val="en-US" w:eastAsia="zh-CN"/>
        </w:rPr>
      </w:pPr>
    </w:p>
    <w:p w14:paraId="7AB4406F">
      <w:pPr>
        <w:rPr>
          <w:rFonts w:hint="default"/>
          <w:lang w:val="en-US" w:eastAsia="zh-CN"/>
        </w:rPr>
      </w:pPr>
    </w:p>
    <w:p w14:paraId="11EB44CF">
      <w:pPr>
        <w:pStyle w:val="5"/>
        <w:pageBreakBefore w:val="0"/>
        <w:kinsoku/>
        <w:overflowPunct/>
        <w:topLinePunct w:val="0"/>
        <w:autoSpaceDE/>
        <w:autoSpaceDN/>
        <w:bidi w:val="0"/>
        <w:spacing w:before="0" w:beforeAutospacing="0" w:after="0" w:afterAutospacing="0" w:line="360" w:lineRule="auto"/>
        <w:ind w:left="0" w:leftChars="0" w:right="0" w:firstLine="0" w:firstLineChars="0"/>
        <w:jc w:val="center"/>
        <w:rPr>
          <w:rFonts w:hint="default" w:ascii="Times New Roman" w:hAnsi="Times New Roman" w:eastAsia="宋体" w:cs="Times New Roman"/>
          <w:b/>
          <w:bCs/>
          <w:sz w:val="32"/>
          <w:szCs w:val="22"/>
          <w:highlight w:val="none"/>
          <w:lang w:val="en-US" w:eastAsia="zh-CN"/>
        </w:rPr>
      </w:pPr>
      <w:r>
        <w:rPr>
          <w:rFonts w:hint="default" w:ascii="Times New Roman" w:hAnsi="Times New Roman" w:eastAsia="宋体" w:cs="Times New Roman"/>
          <w:b/>
          <w:bCs/>
          <w:sz w:val="32"/>
          <w:szCs w:val="22"/>
          <w:highlight w:val="none"/>
          <w:lang w:val="en-US" w:eastAsia="zh-CN"/>
        </w:rPr>
        <w:t>十</w:t>
      </w:r>
      <w:r>
        <w:rPr>
          <w:rFonts w:hint="eastAsia" w:ascii="Times New Roman" w:hAnsi="Times New Roman" w:cs="Times New Roman"/>
          <w:b/>
          <w:bCs/>
          <w:sz w:val="32"/>
          <w:szCs w:val="22"/>
          <w:highlight w:val="none"/>
          <w:lang w:val="en-US" w:eastAsia="zh-CN"/>
        </w:rPr>
        <w:t>一</w:t>
      </w:r>
      <w:r>
        <w:rPr>
          <w:rFonts w:hint="default" w:ascii="Times New Roman" w:hAnsi="Times New Roman" w:eastAsia="宋体" w:cs="Times New Roman"/>
          <w:b/>
          <w:bCs/>
          <w:sz w:val="32"/>
          <w:szCs w:val="22"/>
          <w:highlight w:val="none"/>
          <w:lang w:val="en-US" w:eastAsia="zh-CN"/>
        </w:rPr>
        <w:t>、投标人认为需要加以说明的其他内容</w:t>
      </w:r>
    </w:p>
    <w:p w14:paraId="3A91DE9B">
      <w:pPr>
        <w:pageBreakBefore w:val="0"/>
        <w:kinsoku/>
        <w:overflowPunct/>
        <w:topLinePunct w:val="0"/>
        <w:autoSpaceDE/>
        <w:autoSpaceDN/>
        <w:bidi w:val="0"/>
        <w:spacing w:before="0" w:beforeAutospacing="0" w:after="0" w:afterAutospacing="0" w:line="360" w:lineRule="auto"/>
        <w:ind w:left="0" w:leftChars="0" w:right="0" w:firstLine="0" w:firstLineChars="0"/>
        <w:jc w:val="center"/>
        <w:outlineLvl w:val="9"/>
        <w:rPr>
          <w:rFonts w:hint="default" w:ascii="Times New Roman" w:hAnsi="Times New Roman" w:eastAsia="宋体" w:cs="Times New Roman"/>
          <w:b w:val="0"/>
          <w:bCs w:val="0"/>
          <w:sz w:val="24"/>
          <w:szCs w:val="20"/>
          <w:highlight w:val="none"/>
        </w:rPr>
      </w:pPr>
    </w:p>
    <w:bookmarkEnd w:id="77"/>
    <w:p w14:paraId="501A1A61">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highlight w:val="none"/>
        </w:rPr>
      </w:pPr>
    </w:p>
    <w:p w14:paraId="7995D7BD">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highlight w:val="none"/>
        </w:rPr>
      </w:pPr>
    </w:p>
    <w:p w14:paraId="22A78BCB">
      <w:pPr>
        <w:rPr>
          <w:rFonts w:hint="default" w:ascii="Times New Roman" w:hAnsi="Times New Roman" w:eastAsia="宋体" w:cs="Times New Roman"/>
          <w:highlight w:val="none"/>
        </w:rPr>
      </w:pPr>
      <w:r>
        <w:rPr>
          <w:rFonts w:hint="default" w:ascii="Times New Roman" w:hAnsi="Times New Roman" w:eastAsia="宋体" w:cs="Times New Roman"/>
          <w:highlight w:val="none"/>
        </w:rPr>
        <w:br w:type="page"/>
      </w:r>
    </w:p>
    <w:p w14:paraId="456AF101">
      <w:pPr>
        <w:pStyle w:val="4"/>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b/>
          <w:bCs/>
          <w:kern w:val="2"/>
          <w:sz w:val="32"/>
          <w:szCs w:val="22"/>
          <w:highlight w:val="none"/>
        </w:rPr>
      </w:pPr>
      <w:r>
        <w:rPr>
          <w:rFonts w:hint="default" w:ascii="Times New Roman" w:hAnsi="Times New Roman" w:eastAsia="宋体" w:cs="Times New Roman"/>
          <w:b/>
          <w:bCs/>
          <w:kern w:val="2"/>
          <w:sz w:val="32"/>
          <w:szCs w:val="22"/>
          <w:highlight w:val="none"/>
        </w:rPr>
        <w:t>第五章  合同条款及格式</w:t>
      </w:r>
    </w:p>
    <w:p w14:paraId="76BA7EC5">
      <w:pPr>
        <w:pageBreakBefore w:val="0"/>
        <w:kinsoku/>
        <w:overflowPunct/>
        <w:topLinePunct w:val="0"/>
        <w:autoSpaceDE/>
        <w:autoSpaceDN/>
        <w:bidi w:val="0"/>
        <w:spacing w:beforeAutospacing="0" w:afterAutospacing="0" w:line="360" w:lineRule="auto"/>
        <w:ind w:left="0" w:leftChars="0" w:right="0" w:firstLine="0" w:firstLineChars="0"/>
        <w:rPr>
          <w:rFonts w:hint="default" w:ascii="Times New Roman" w:hAnsi="Times New Roman" w:eastAsia="宋体" w:cs="Times New Roman"/>
          <w:highlight w:val="none"/>
        </w:rPr>
      </w:pPr>
    </w:p>
    <w:p w14:paraId="0B2CB442">
      <w:pPr>
        <w:pageBreakBefore w:val="0"/>
        <w:kinsoku/>
        <w:overflowPunct/>
        <w:topLinePunct w:val="0"/>
        <w:autoSpaceDE/>
        <w:autoSpaceDN/>
        <w:bidi w:val="0"/>
        <w:spacing w:beforeAutospacing="0" w:afterAutospacing="0" w:line="360" w:lineRule="auto"/>
        <w:ind w:left="0" w:leftChars="0" w:right="0" w:firstLine="0" w:firstLineChars="0"/>
        <w:jc w:val="center"/>
        <w:outlineLvl w:val="9"/>
        <w:rPr>
          <w:rFonts w:hint="default" w:ascii="Times New Roman" w:hAnsi="Times New Roman" w:eastAsia="宋体" w:cs="Times New Roman"/>
          <w:highlight w:val="none"/>
        </w:rPr>
      </w:pPr>
      <w:bookmarkStart w:id="78" w:name="_Hlk72574405"/>
      <w:bookmarkStart w:id="79" w:name="_Hlk72260917"/>
      <w:r>
        <w:rPr>
          <w:rFonts w:hint="default" w:ascii="Times New Roman" w:hAnsi="Times New Roman" w:eastAsia="宋体" w:cs="Times New Roman"/>
          <w:b/>
          <w:sz w:val="24"/>
          <w:highlight w:val="none"/>
        </w:rPr>
        <w:t>（仅供参考，具体以项目需求及采购结果为准）</w:t>
      </w:r>
      <w:bookmarkEnd w:id="78"/>
    </w:p>
    <w:bookmarkEnd w:id="79"/>
    <w:p w14:paraId="67F49DB1">
      <w:pPr>
        <w:keepNext/>
        <w:keepLines/>
        <w:spacing w:before="260" w:after="260"/>
        <w:jc w:val="left"/>
        <w:outlineLvl w:val="0"/>
        <w:rPr>
          <w:rFonts w:ascii="宋体" w:hAnsi="宋体"/>
          <w:b/>
          <w:bCs/>
          <w:kern w:val="0"/>
          <w:sz w:val="28"/>
          <w:szCs w:val="32"/>
          <w:lang w:val="zh-CN"/>
        </w:rPr>
      </w:pPr>
      <w:bookmarkStart w:id="80" w:name="_Hlk72439706"/>
      <w:r>
        <w:rPr>
          <w:rFonts w:hint="eastAsia" w:ascii="宋体" w:hAnsi="宋体"/>
          <w:b/>
          <w:bCs/>
          <w:kern w:val="0"/>
          <w:sz w:val="28"/>
          <w:szCs w:val="32"/>
          <w:lang w:val="zh-CN"/>
        </w:rPr>
        <w:t>合同条款及格式</w:t>
      </w:r>
    </w:p>
    <w:p w14:paraId="1CBA56F2">
      <w:pPr>
        <w:pStyle w:val="5"/>
        <w:jc w:val="center"/>
        <w:rPr>
          <w:rFonts w:ascii="Times New Roman" w:hAnsi="Times New Roman"/>
          <w:b w:val="0"/>
          <w:color w:val="000000" w:themeColor="text1"/>
          <w:kern w:val="0"/>
          <w:sz w:val="24"/>
          <w:szCs w:val="24"/>
          <w14:textFill>
            <w14:solidFill>
              <w14:schemeClr w14:val="tx1"/>
            </w14:solidFill>
          </w14:textFill>
        </w:rPr>
      </w:pPr>
      <w:r>
        <w:rPr>
          <w:rFonts w:ascii="Times New Roman" w:hAnsi="Times New Roman"/>
          <w:b w:val="0"/>
          <w:color w:val="000000" w:themeColor="text1"/>
          <w:kern w:val="0"/>
          <w:sz w:val="24"/>
          <w:szCs w:val="24"/>
          <w14:textFill>
            <w14:solidFill>
              <w14:schemeClr w14:val="tx1"/>
            </w14:solidFill>
          </w14:textFill>
        </w:rPr>
        <w:t>一、合同条款及格式（仅供参考）</w:t>
      </w:r>
    </w:p>
    <w:p w14:paraId="771A052F">
      <w:pPr>
        <w:ind w:firstLine="470" w:firstLineChars="196"/>
        <w:jc w:val="center"/>
        <w:rPr>
          <w:color w:val="000000" w:themeColor="text1"/>
          <w:sz w:val="24"/>
          <w14:textFill>
            <w14:solidFill>
              <w14:schemeClr w14:val="tx1"/>
            </w14:solidFill>
          </w14:textFill>
        </w:rPr>
      </w:pPr>
      <w:bookmarkStart w:id="81" w:name="_Toc73518163"/>
      <w:bookmarkStart w:id="82" w:name="_Toc73521592"/>
      <w:bookmarkStart w:id="83" w:name="_Toc73517685"/>
      <w:bookmarkStart w:id="84" w:name="_Toc101074886"/>
      <w:bookmarkStart w:id="85" w:name="_Toc100052414"/>
      <w:bookmarkStart w:id="86" w:name="_Toc84303603"/>
      <w:bookmarkStart w:id="87" w:name="_Toc73521680"/>
    </w:p>
    <w:p w14:paraId="7E40B4EE">
      <w:pPr>
        <w:ind w:firstLine="470" w:firstLineChars="196"/>
        <w:jc w:val="center"/>
        <w:rPr>
          <w:color w:val="000000" w:themeColor="text1"/>
          <w:sz w:val="24"/>
          <w14:textFill>
            <w14:solidFill>
              <w14:schemeClr w14:val="tx1"/>
            </w14:solidFill>
          </w14:textFill>
        </w:rPr>
      </w:pPr>
    </w:p>
    <w:p w14:paraId="440107CB">
      <w:pPr>
        <w:jc w:val="center"/>
        <w:rPr>
          <w:b/>
          <w:color w:val="000000" w:themeColor="text1"/>
          <w:sz w:val="24"/>
          <w14:textFill>
            <w14:solidFill>
              <w14:schemeClr w14:val="tx1"/>
            </w14:solidFill>
          </w14:textFill>
        </w:rPr>
      </w:pPr>
      <w:r>
        <w:rPr>
          <w:b/>
          <w:color w:val="000000" w:themeColor="text1"/>
          <w:sz w:val="24"/>
          <w14:textFill>
            <w14:solidFill>
              <w14:schemeClr w14:val="tx1"/>
            </w14:solidFill>
          </w14:textFill>
        </w:rPr>
        <w:t>合同条款</w:t>
      </w:r>
      <w:bookmarkEnd w:id="81"/>
      <w:bookmarkEnd w:id="82"/>
      <w:bookmarkEnd w:id="83"/>
      <w:bookmarkEnd w:id="84"/>
      <w:bookmarkEnd w:id="85"/>
      <w:bookmarkEnd w:id="86"/>
      <w:bookmarkEnd w:id="87"/>
    </w:p>
    <w:p w14:paraId="45138BD4">
      <w:pPr>
        <w:jc w:val="center"/>
        <w:rPr>
          <w:color w:val="000000" w:themeColor="text1"/>
          <w14:textFill>
            <w14:solidFill>
              <w14:schemeClr w14:val="tx1"/>
            </w14:solidFill>
          </w14:textFill>
        </w:rPr>
      </w:pPr>
      <w:r>
        <w:rPr>
          <w:b/>
          <w:color w:val="000000" w:themeColor="text1"/>
          <w:sz w:val="24"/>
          <w14:textFill>
            <w14:solidFill>
              <w14:schemeClr w14:val="tx1"/>
            </w14:solidFill>
          </w14:textFill>
        </w:rPr>
        <w:t>（仅供参考，项目具体要求以招标项目需求为准）</w:t>
      </w:r>
    </w:p>
    <w:p w14:paraId="2C69E9CA">
      <w:pPr>
        <w:rPr>
          <w:b/>
          <w:bCs/>
          <w:color w:val="000000" w:themeColor="text1"/>
          <w:szCs w:val="21"/>
          <w14:textFill>
            <w14:solidFill>
              <w14:schemeClr w14:val="tx1"/>
            </w14:solidFill>
          </w14:textFill>
        </w:rPr>
      </w:pPr>
      <w:r>
        <w:rPr>
          <w:b/>
          <w:bCs/>
          <w:color w:val="000000" w:themeColor="text1"/>
          <w:szCs w:val="21"/>
          <w14:textFill>
            <w14:solidFill>
              <w14:schemeClr w14:val="tx1"/>
            </w14:solidFill>
          </w14:textFill>
        </w:rPr>
        <w:t>甲方：</w:t>
      </w:r>
    </w:p>
    <w:p w14:paraId="22E74114">
      <w:pPr>
        <w:rPr>
          <w:b/>
          <w:bCs/>
          <w:color w:val="000000" w:themeColor="text1"/>
          <w:szCs w:val="21"/>
          <w14:textFill>
            <w14:solidFill>
              <w14:schemeClr w14:val="tx1"/>
            </w14:solidFill>
          </w14:textFill>
        </w:rPr>
      </w:pPr>
      <w:r>
        <w:rPr>
          <w:b/>
          <w:bCs/>
          <w:color w:val="000000" w:themeColor="text1"/>
          <w:szCs w:val="21"/>
          <w14:textFill>
            <w14:solidFill>
              <w14:schemeClr w14:val="tx1"/>
            </w14:solidFill>
          </w14:textFill>
        </w:rPr>
        <w:t>乙方：</w:t>
      </w:r>
    </w:p>
    <w:p w14:paraId="2920AE52">
      <w:pPr>
        <w:rPr>
          <w:color w:val="000000" w:themeColor="text1"/>
          <w:szCs w:val="21"/>
          <w14:textFill>
            <w14:solidFill>
              <w14:schemeClr w14:val="tx1"/>
            </w14:solidFill>
          </w14:textFill>
        </w:rPr>
      </w:pPr>
    </w:p>
    <w:p w14:paraId="5F59FB5D">
      <w:pPr>
        <w:rPr>
          <w:color w:val="000000" w:themeColor="text1"/>
          <w:szCs w:val="21"/>
          <w14:textFill>
            <w14:solidFill>
              <w14:schemeClr w14:val="tx1"/>
            </w14:solidFill>
          </w14:textFill>
        </w:rPr>
      </w:pPr>
    </w:p>
    <w:p w14:paraId="7F8207E6">
      <w:pPr>
        <w:ind w:firstLine="420" w:firstLineChars="200"/>
        <w:rPr>
          <w:color w:val="000000" w:themeColor="text1"/>
          <w:szCs w:val="21"/>
          <w14:textFill>
            <w14:solidFill>
              <w14:schemeClr w14:val="tx1"/>
            </w14:solidFill>
          </w14:textFill>
        </w:rPr>
      </w:pPr>
      <w:r>
        <w:rPr>
          <w:color w:val="000000" w:themeColor="text1"/>
          <w:szCs w:val="21"/>
          <w14:textFill>
            <w14:solidFill>
              <w14:schemeClr w14:val="tx1"/>
            </w14:solidFill>
          </w14:textFill>
        </w:rPr>
        <w:t>根据深圳市政府采购中心招标项目的投标结果，由单位为中标方。按照《中华人民共和国民法典》和《深圳经济特区政府采购条例》，经深圳市（以下简称甲方）和单位（以下简称乙方）协商，就甲方委托乙方承担</w:t>
      </w:r>
      <w:r>
        <w:rPr>
          <w:b/>
          <w:bCs/>
          <w:snapToGrid w:val="0"/>
          <w:color w:val="000000" w:themeColor="text1"/>
          <w:kern w:val="0"/>
          <w:szCs w:val="21"/>
          <w:u w:val="single"/>
          <w:lang w:val="zh-CN"/>
          <w14:textFill>
            <w14:solidFill>
              <w14:schemeClr w14:val="tx1"/>
            </w14:solidFill>
          </w14:textFill>
        </w:rPr>
        <w:t>服务项目</w:t>
      </w:r>
      <w:r>
        <w:rPr>
          <w:color w:val="000000" w:themeColor="text1"/>
          <w:szCs w:val="21"/>
          <w14:textFill>
            <w14:solidFill>
              <w14:schemeClr w14:val="tx1"/>
            </w14:solidFill>
          </w14:textFill>
        </w:rPr>
        <w:t>，达成以下合同条款：</w:t>
      </w:r>
    </w:p>
    <w:p w14:paraId="3D7743C6">
      <w:pPr>
        <w:ind w:firstLine="422" w:firstLineChars="200"/>
        <w:rPr>
          <w:b/>
          <w:bCs/>
          <w:color w:val="000000" w:themeColor="text1"/>
          <w:szCs w:val="21"/>
          <w14:textFill>
            <w14:solidFill>
              <w14:schemeClr w14:val="tx1"/>
            </w14:solidFill>
          </w14:textFill>
        </w:rPr>
      </w:pPr>
      <w:r>
        <w:rPr>
          <w:b/>
          <w:bCs/>
          <w:color w:val="000000" w:themeColor="text1"/>
          <w:szCs w:val="21"/>
          <w14:textFill>
            <w14:solidFill>
              <w14:schemeClr w14:val="tx1"/>
            </w14:solidFill>
          </w14:textFill>
        </w:rPr>
        <w:t>第一条　项目概况</w:t>
      </w:r>
    </w:p>
    <w:p w14:paraId="0CEB03EF">
      <w:pPr>
        <w:ind w:firstLine="420" w:firstLineChars="200"/>
        <w:rPr>
          <w:color w:val="000000" w:themeColor="text1"/>
          <w:szCs w:val="21"/>
          <w14:textFill>
            <w14:solidFill>
              <w14:schemeClr w14:val="tx1"/>
            </w14:solidFill>
          </w14:textFill>
        </w:rPr>
      </w:pPr>
      <w:r>
        <w:rPr>
          <w:color w:val="000000" w:themeColor="text1"/>
          <w:szCs w:val="21"/>
          <w14:textFill>
            <w14:solidFill>
              <w14:schemeClr w14:val="tx1"/>
            </w14:solidFill>
          </w14:textFill>
        </w:rPr>
        <w:t>项目名称：</w:t>
      </w:r>
    </w:p>
    <w:p w14:paraId="0595B606">
      <w:pPr>
        <w:ind w:firstLine="420" w:firstLineChars="200"/>
        <w:rPr>
          <w:color w:val="000000" w:themeColor="text1"/>
          <w:szCs w:val="21"/>
          <w14:textFill>
            <w14:solidFill>
              <w14:schemeClr w14:val="tx1"/>
            </w14:solidFill>
          </w14:textFill>
        </w:rPr>
      </w:pPr>
      <w:r>
        <w:rPr>
          <w:color w:val="000000" w:themeColor="text1"/>
          <w:szCs w:val="21"/>
          <w14:textFill>
            <w14:solidFill>
              <w14:schemeClr w14:val="tx1"/>
            </w14:solidFill>
          </w14:textFill>
        </w:rPr>
        <w:t>项目内容：</w:t>
      </w:r>
    </w:p>
    <w:p w14:paraId="050C1145">
      <w:pPr>
        <w:ind w:firstLine="420" w:firstLineChars="200"/>
        <w:rPr>
          <w:color w:val="000000" w:themeColor="text1"/>
          <w:szCs w:val="21"/>
          <w14:textFill>
            <w14:solidFill>
              <w14:schemeClr w14:val="tx1"/>
            </w14:solidFill>
          </w14:textFill>
        </w:rPr>
      </w:pPr>
      <w:r>
        <w:rPr>
          <w:color w:val="000000" w:themeColor="text1"/>
          <w:szCs w:val="21"/>
          <w14:textFill>
            <w14:solidFill>
              <w14:schemeClr w14:val="tx1"/>
            </w14:solidFill>
          </w14:textFill>
        </w:rPr>
        <w:t>服务时间：</w:t>
      </w:r>
    </w:p>
    <w:p w14:paraId="1C680196">
      <w:pPr>
        <w:ind w:firstLine="420" w:firstLineChars="200"/>
        <w:rPr>
          <w:color w:val="000000" w:themeColor="text1"/>
          <w:szCs w:val="21"/>
          <w14:textFill>
            <w14:solidFill>
              <w14:schemeClr w14:val="tx1"/>
            </w14:solidFill>
          </w14:textFill>
        </w:rPr>
      </w:pPr>
      <w:r>
        <w:rPr>
          <w:color w:val="000000" w:themeColor="text1"/>
          <w:szCs w:val="21"/>
          <w14:textFill>
            <w14:solidFill>
              <w14:schemeClr w14:val="tx1"/>
            </w14:solidFill>
          </w14:textFill>
        </w:rPr>
        <w:t>合同价款：合同总价为元，含一切税、费。</w:t>
      </w:r>
      <w:r>
        <w:rPr>
          <w:color w:val="000000" w:themeColor="text1"/>
          <w14:textFill>
            <w14:solidFill>
              <w14:schemeClr w14:val="tx1"/>
            </w14:solidFill>
          </w14:textFill>
        </w:rPr>
        <w:t>本合同总价包括</w:t>
      </w:r>
      <w:r>
        <w:rPr>
          <w:color w:val="000000" w:themeColor="text1"/>
          <w:szCs w:val="21"/>
          <w14:textFill>
            <w14:solidFill>
              <w14:schemeClr w14:val="tx1"/>
            </w14:solidFill>
          </w14:textFill>
        </w:rPr>
        <w:t>乙方为实施本项目荷载试验所需的设备仪器费、车辆租赁费、</w:t>
      </w:r>
      <w:r>
        <w:rPr>
          <w:color w:val="000000" w:themeColor="text1"/>
          <w14:textFill>
            <w14:solidFill>
              <w14:schemeClr w14:val="tx1"/>
            </w14:solidFill>
          </w14:textFill>
        </w:rPr>
        <w:t>服务和技术费用等，为固定不变价格，且不随通货膨胀的影响而波动。合同总价包括</w:t>
      </w:r>
      <w:r>
        <w:rPr>
          <w:color w:val="000000" w:themeColor="text1"/>
          <w:szCs w:val="21"/>
          <w14:textFill>
            <w14:solidFill>
              <w14:schemeClr w14:val="tx1"/>
            </w14:solidFill>
          </w14:textFill>
        </w:rPr>
        <w:t>乙方</w:t>
      </w:r>
      <w:r>
        <w:rPr>
          <w:color w:val="000000" w:themeColor="text1"/>
          <w14:textFill>
            <w14:solidFill>
              <w14:schemeClr w14:val="tx1"/>
            </w14:solidFill>
          </w14:textFill>
        </w:rPr>
        <w:t>履行本合同义务所发生的一切费用和支出和以各种方式寄送技术资料到甲方办公室所发生的费用。如发生本合同规定的不可抗力，合同总价可经双方友好协商予以调整。</w:t>
      </w:r>
    </w:p>
    <w:p w14:paraId="5C39D01C">
      <w:pPr>
        <w:pStyle w:val="8"/>
        <w:rPr>
          <w:color w:val="000000" w:themeColor="text1"/>
          <w:szCs w:val="21"/>
          <w14:textFill>
            <w14:solidFill>
              <w14:schemeClr w14:val="tx1"/>
            </w14:solidFill>
          </w14:textFill>
        </w:rPr>
      </w:pPr>
      <w:r>
        <w:rPr>
          <w:color w:val="000000" w:themeColor="text1"/>
          <w:szCs w:val="21"/>
          <w14:textFill>
            <w14:solidFill>
              <w14:schemeClr w14:val="tx1"/>
            </w14:solidFill>
          </w14:textFill>
        </w:rPr>
        <w:t>支付方式：分期支付。</w:t>
      </w:r>
    </w:p>
    <w:p w14:paraId="3A4275F9">
      <w:pPr>
        <w:ind w:firstLine="422" w:firstLineChars="200"/>
        <w:rPr>
          <w:b/>
          <w:bCs/>
          <w:color w:val="000000" w:themeColor="text1"/>
          <w:szCs w:val="21"/>
          <w14:textFill>
            <w14:solidFill>
              <w14:schemeClr w14:val="tx1"/>
            </w14:solidFill>
          </w14:textFill>
        </w:rPr>
      </w:pPr>
      <w:r>
        <w:rPr>
          <w:b/>
          <w:bCs/>
          <w:color w:val="000000" w:themeColor="text1"/>
          <w:szCs w:val="21"/>
          <w14:textFill>
            <w14:solidFill>
              <w14:schemeClr w14:val="tx1"/>
            </w14:solidFill>
          </w14:textFill>
        </w:rPr>
        <w:t>第二条服务范围</w:t>
      </w:r>
    </w:p>
    <w:p w14:paraId="044D13DC">
      <w:pPr>
        <w:ind w:firstLine="420" w:firstLineChars="200"/>
        <w:rPr>
          <w:color w:val="000000" w:themeColor="text1"/>
          <w:szCs w:val="21"/>
          <w14:textFill>
            <w14:solidFill>
              <w14:schemeClr w14:val="tx1"/>
            </w14:solidFill>
          </w14:textFill>
        </w:rPr>
      </w:pPr>
      <w:r>
        <w:rPr>
          <w:color w:val="000000" w:themeColor="text1"/>
          <w:szCs w:val="21"/>
          <w14:textFill>
            <w14:solidFill>
              <w14:schemeClr w14:val="tx1"/>
            </w14:solidFill>
          </w14:textFill>
        </w:rPr>
        <w:t>1、</w:t>
      </w:r>
    </w:p>
    <w:p w14:paraId="77DCA483">
      <w:pPr>
        <w:ind w:firstLine="420" w:firstLineChars="200"/>
        <w:rPr>
          <w:color w:val="000000" w:themeColor="text1"/>
          <w:szCs w:val="21"/>
          <w14:textFill>
            <w14:solidFill>
              <w14:schemeClr w14:val="tx1"/>
            </w14:solidFill>
          </w14:textFill>
        </w:rPr>
      </w:pPr>
      <w:r>
        <w:rPr>
          <w:color w:val="000000" w:themeColor="text1"/>
          <w:szCs w:val="21"/>
          <w14:textFill>
            <w14:solidFill>
              <w14:schemeClr w14:val="tx1"/>
            </w14:solidFill>
          </w14:textFill>
        </w:rPr>
        <w:t>2、</w:t>
      </w:r>
    </w:p>
    <w:p w14:paraId="3CD812B8">
      <w:pPr>
        <w:ind w:firstLine="420" w:firstLineChars="200"/>
        <w:rPr>
          <w:color w:val="000000" w:themeColor="text1"/>
          <w:szCs w:val="21"/>
          <w14:textFill>
            <w14:solidFill>
              <w14:schemeClr w14:val="tx1"/>
            </w14:solidFill>
          </w14:textFill>
        </w:rPr>
      </w:pPr>
      <w:r>
        <w:rPr>
          <w:color w:val="000000" w:themeColor="text1"/>
          <w:szCs w:val="21"/>
          <w14:textFill>
            <w14:solidFill>
              <w14:schemeClr w14:val="tx1"/>
            </w14:solidFill>
          </w14:textFill>
        </w:rPr>
        <w:t>3、</w:t>
      </w:r>
    </w:p>
    <w:p w14:paraId="6D287A02">
      <w:pPr>
        <w:ind w:firstLine="420" w:firstLineChars="200"/>
        <w:rPr>
          <w:color w:val="000000" w:themeColor="text1"/>
          <w:szCs w:val="21"/>
          <w14:textFill>
            <w14:solidFill>
              <w14:schemeClr w14:val="tx1"/>
            </w14:solidFill>
          </w14:textFill>
        </w:rPr>
      </w:pPr>
      <w:r>
        <w:rPr>
          <w:color w:val="000000" w:themeColor="text1"/>
          <w:szCs w:val="21"/>
          <w14:textFill>
            <w14:solidFill>
              <w14:schemeClr w14:val="tx1"/>
            </w14:solidFill>
          </w14:textFill>
        </w:rPr>
        <w:t>4、其他合同未明示的相关工作。</w:t>
      </w:r>
    </w:p>
    <w:p w14:paraId="4F9EB200">
      <w:pPr>
        <w:ind w:firstLine="422" w:firstLineChars="200"/>
        <w:rPr>
          <w:b/>
          <w:bCs/>
          <w:color w:val="000000" w:themeColor="text1"/>
          <w:szCs w:val="21"/>
          <w14:textFill>
            <w14:solidFill>
              <w14:schemeClr w14:val="tx1"/>
            </w14:solidFill>
          </w14:textFill>
        </w:rPr>
      </w:pPr>
      <w:r>
        <w:rPr>
          <w:b/>
          <w:bCs/>
          <w:color w:val="000000" w:themeColor="text1"/>
          <w:szCs w:val="21"/>
          <w14:textFill>
            <w14:solidFill>
              <w14:schemeClr w14:val="tx1"/>
            </w14:solidFill>
          </w14:textFill>
        </w:rPr>
        <w:t>第三条时间要求及阶段成果</w:t>
      </w:r>
    </w:p>
    <w:p w14:paraId="27DAD8F9">
      <w:pPr>
        <w:ind w:firstLine="420" w:firstLineChars="200"/>
        <w:rPr>
          <w:color w:val="000000" w:themeColor="text1"/>
          <w:szCs w:val="21"/>
          <w14:textFill>
            <w14:solidFill>
              <w14:schemeClr w14:val="tx1"/>
            </w14:solidFill>
          </w14:textFill>
        </w:rPr>
      </w:pPr>
      <w:r>
        <w:rPr>
          <w:color w:val="000000" w:themeColor="text1"/>
          <w:szCs w:val="21"/>
          <w14:textFill>
            <w14:solidFill>
              <w14:schemeClr w14:val="tx1"/>
            </w14:solidFill>
          </w14:textFill>
        </w:rPr>
        <w:t>1、合同签订天内完成项目实施的准备工作，包括工作大纲和试验细则的编制；</w:t>
      </w:r>
    </w:p>
    <w:p w14:paraId="192DA299">
      <w:pPr>
        <w:ind w:firstLine="420" w:firstLineChars="200"/>
        <w:rPr>
          <w:color w:val="000000" w:themeColor="text1"/>
          <w:szCs w:val="21"/>
          <w14:textFill>
            <w14:solidFill>
              <w14:schemeClr w14:val="tx1"/>
            </w14:solidFill>
          </w14:textFill>
        </w:rPr>
      </w:pPr>
      <w:r>
        <w:rPr>
          <w:color w:val="000000" w:themeColor="text1"/>
          <w:szCs w:val="21"/>
          <w14:textFill>
            <w14:solidFill>
              <w14:schemeClr w14:val="tx1"/>
            </w14:solidFill>
          </w14:textFill>
        </w:rPr>
        <w:t>2、</w:t>
      </w:r>
    </w:p>
    <w:p w14:paraId="35C07E93">
      <w:pPr>
        <w:ind w:firstLine="420" w:firstLineChars="200"/>
        <w:rPr>
          <w:color w:val="000000" w:themeColor="text1"/>
          <w:szCs w:val="21"/>
          <w14:textFill>
            <w14:solidFill>
              <w14:schemeClr w14:val="tx1"/>
            </w14:solidFill>
          </w14:textFill>
        </w:rPr>
      </w:pPr>
      <w:r>
        <w:rPr>
          <w:color w:val="000000" w:themeColor="text1"/>
          <w:szCs w:val="21"/>
          <w14:textFill>
            <w14:solidFill>
              <w14:schemeClr w14:val="tx1"/>
            </w14:solidFill>
          </w14:textFill>
        </w:rPr>
        <w:t>3、</w:t>
      </w:r>
    </w:p>
    <w:p w14:paraId="3D00729E">
      <w:pPr>
        <w:ind w:firstLine="420" w:firstLineChars="200"/>
        <w:rPr>
          <w:color w:val="000000" w:themeColor="text1"/>
          <w:szCs w:val="21"/>
          <w14:textFill>
            <w14:solidFill>
              <w14:schemeClr w14:val="tx1"/>
            </w14:solidFill>
          </w14:textFill>
        </w:rPr>
      </w:pPr>
      <w:r>
        <w:rPr>
          <w:color w:val="000000" w:themeColor="text1"/>
          <w:szCs w:val="21"/>
          <w14:textFill>
            <w14:solidFill>
              <w14:schemeClr w14:val="tx1"/>
            </w14:solidFill>
          </w14:textFill>
        </w:rPr>
        <w:t>4、</w:t>
      </w:r>
    </w:p>
    <w:p w14:paraId="125D4F7E">
      <w:pPr>
        <w:ind w:firstLine="422" w:firstLineChars="200"/>
        <w:rPr>
          <w:b/>
          <w:bCs/>
          <w:color w:val="000000" w:themeColor="text1"/>
          <w:szCs w:val="21"/>
          <w14:textFill>
            <w14:solidFill>
              <w14:schemeClr w14:val="tx1"/>
            </w14:solidFill>
          </w14:textFill>
        </w:rPr>
      </w:pPr>
      <w:r>
        <w:rPr>
          <w:b/>
          <w:bCs/>
          <w:color w:val="000000" w:themeColor="text1"/>
          <w:szCs w:val="21"/>
          <w14:textFill>
            <w14:solidFill>
              <w14:schemeClr w14:val="tx1"/>
            </w14:solidFill>
          </w14:textFill>
        </w:rPr>
        <w:t>第四条咨询服务资料归属</w:t>
      </w:r>
    </w:p>
    <w:p w14:paraId="22F1FBAE">
      <w:pPr>
        <w:ind w:firstLine="420" w:firstLineChars="200"/>
        <w:rPr>
          <w:color w:val="000000" w:themeColor="text1"/>
          <w14:textFill>
            <w14:solidFill>
              <w14:schemeClr w14:val="tx1"/>
            </w14:solidFill>
          </w14:textFill>
        </w:rPr>
      </w:pPr>
      <w:r>
        <w:rPr>
          <w:color w:val="000000" w:themeColor="text1"/>
          <w14:textFill>
            <w14:solidFill>
              <w14:schemeClr w14:val="tx1"/>
            </w14:solidFill>
          </w14:textFill>
        </w:rPr>
        <w:t>1、所有提交给甲方的咨询服务文件及相关的资料的最后文本，包括为履行技术咨询服务范围所编制的图纸、计划和证明资料等，都属于甲方的财产，</w:t>
      </w:r>
      <w:r>
        <w:rPr>
          <w:color w:val="000000" w:themeColor="text1"/>
          <w:szCs w:val="21"/>
          <w14:textFill>
            <w14:solidFill>
              <w14:schemeClr w14:val="tx1"/>
            </w14:solidFill>
          </w14:textFill>
        </w:rPr>
        <w:t>乙</w:t>
      </w:r>
      <w:r>
        <w:rPr>
          <w:color w:val="000000" w:themeColor="text1"/>
          <w14:textFill>
            <w14:solidFill>
              <w14:schemeClr w14:val="tx1"/>
            </w14:solidFill>
          </w14:textFill>
        </w:rPr>
        <w:t>方在提交给甲方之前应将上述资料进行整理归类和编制索引。</w:t>
      </w:r>
    </w:p>
    <w:p w14:paraId="7F91F75D">
      <w:pPr>
        <w:ind w:firstLine="420" w:firstLineChars="200"/>
        <w:rPr>
          <w:color w:val="000000" w:themeColor="text1"/>
          <w14:textFill>
            <w14:solidFill>
              <w14:schemeClr w14:val="tx1"/>
            </w14:solidFill>
          </w14:textFill>
        </w:rPr>
      </w:pPr>
      <w:r>
        <w:rPr>
          <w:color w:val="000000" w:themeColor="text1"/>
          <w14:textFill>
            <w14:solidFill>
              <w14:schemeClr w14:val="tx1"/>
            </w14:solidFill>
          </w14:textFill>
        </w:rPr>
        <w:t>2、</w:t>
      </w:r>
      <w:r>
        <w:rPr>
          <w:color w:val="000000" w:themeColor="text1"/>
          <w:szCs w:val="21"/>
          <w14:textFill>
            <w14:solidFill>
              <w14:schemeClr w14:val="tx1"/>
            </w14:solidFill>
          </w14:textFill>
        </w:rPr>
        <w:t>乙</w:t>
      </w:r>
      <w:r>
        <w:rPr>
          <w:color w:val="000000" w:themeColor="text1"/>
          <w14:textFill>
            <w14:solidFill>
              <w14:schemeClr w14:val="tx1"/>
            </w14:solidFill>
          </w14:textFill>
        </w:rPr>
        <w:t>方未经甲方的书面同意，不得将上述资料用于与本咨询服务项目之外的任何项目。</w:t>
      </w:r>
    </w:p>
    <w:p w14:paraId="13805C28">
      <w:pPr>
        <w:ind w:firstLine="420" w:firstLineChars="200"/>
        <w:rPr>
          <w:color w:val="000000" w:themeColor="text1"/>
          <w14:textFill>
            <w14:solidFill>
              <w14:schemeClr w14:val="tx1"/>
            </w14:solidFill>
          </w14:textFill>
        </w:rPr>
      </w:pPr>
      <w:r>
        <w:rPr>
          <w:color w:val="000000" w:themeColor="text1"/>
          <w14:textFill>
            <w14:solidFill>
              <w14:schemeClr w14:val="tx1"/>
            </w14:solidFill>
          </w14:textFill>
        </w:rPr>
        <w:t>3、合同履行完毕，未经甲方的书面同意，</w:t>
      </w:r>
      <w:r>
        <w:rPr>
          <w:color w:val="000000" w:themeColor="text1"/>
          <w:szCs w:val="21"/>
          <w14:textFill>
            <w14:solidFill>
              <w14:schemeClr w14:val="tx1"/>
            </w14:solidFill>
          </w14:textFill>
        </w:rPr>
        <w:t>乙</w:t>
      </w:r>
      <w:r>
        <w:rPr>
          <w:color w:val="000000" w:themeColor="text1"/>
          <w14:textFill>
            <w14:solidFill>
              <w14:schemeClr w14:val="tx1"/>
            </w14:solidFill>
          </w14:textFill>
        </w:rPr>
        <w:t>方不得保存在履行合同过程中所获得或接触到的任何</w:t>
      </w:r>
      <w:r>
        <w:rPr>
          <w:color w:val="000000" w:themeColor="text1"/>
          <w:szCs w:val="21"/>
          <w14:textFill>
            <w14:solidFill>
              <w14:schemeClr w14:val="tx1"/>
            </w14:solidFill>
          </w14:textFill>
        </w:rPr>
        <w:t>内部数据资料。</w:t>
      </w:r>
    </w:p>
    <w:p w14:paraId="571894A0">
      <w:pPr>
        <w:ind w:firstLine="422" w:firstLineChars="200"/>
        <w:rPr>
          <w:b/>
          <w:bCs/>
          <w:color w:val="000000" w:themeColor="text1"/>
          <w:szCs w:val="21"/>
          <w14:textFill>
            <w14:solidFill>
              <w14:schemeClr w14:val="tx1"/>
            </w14:solidFill>
          </w14:textFill>
        </w:rPr>
      </w:pPr>
      <w:r>
        <w:rPr>
          <w:b/>
          <w:bCs/>
          <w:color w:val="000000" w:themeColor="text1"/>
          <w:szCs w:val="21"/>
          <w14:textFill>
            <w14:solidFill>
              <w14:schemeClr w14:val="tx1"/>
            </w14:solidFill>
          </w14:textFill>
        </w:rPr>
        <w:t>第五条甲方的义务</w:t>
      </w:r>
    </w:p>
    <w:p w14:paraId="53C0FCFB">
      <w:pPr>
        <w:ind w:firstLine="420" w:firstLineChars="200"/>
        <w:rPr>
          <w:color w:val="000000" w:themeColor="text1"/>
          <w:szCs w:val="21"/>
          <w14:textFill>
            <w14:solidFill>
              <w14:schemeClr w14:val="tx1"/>
            </w14:solidFill>
          </w14:textFill>
        </w:rPr>
      </w:pPr>
      <w:r>
        <w:rPr>
          <w:color w:val="000000" w:themeColor="text1"/>
          <w:szCs w:val="21"/>
          <w14:textFill>
            <w14:solidFill>
              <w14:schemeClr w14:val="tx1"/>
            </w14:solidFill>
          </w14:textFill>
        </w:rPr>
        <w:t>1、负责与本咨询服务项目有关的第三方的协调，提供开展咨询服务工作的外部条件。</w:t>
      </w:r>
    </w:p>
    <w:p w14:paraId="416AFC8A">
      <w:pPr>
        <w:ind w:firstLine="420" w:firstLineChars="200"/>
        <w:rPr>
          <w:color w:val="000000" w:themeColor="text1"/>
          <w:szCs w:val="21"/>
          <w14:textFill>
            <w14:solidFill>
              <w14:schemeClr w14:val="tx1"/>
            </w14:solidFill>
          </w14:textFill>
        </w:rPr>
      </w:pPr>
      <w:r>
        <w:rPr>
          <w:color w:val="000000" w:themeColor="text1"/>
          <w:szCs w:val="21"/>
          <w14:textFill>
            <w14:solidFill>
              <w14:schemeClr w14:val="tx1"/>
            </w14:solidFill>
          </w14:textFill>
        </w:rPr>
        <w:t>2、向乙方提供与本项目咨询服务工作有关的资料。</w:t>
      </w:r>
    </w:p>
    <w:p w14:paraId="7C47AA90">
      <w:pPr>
        <w:ind w:firstLine="420" w:firstLineChars="200"/>
        <w:rPr>
          <w:color w:val="000000" w:themeColor="text1"/>
          <w:szCs w:val="21"/>
          <w14:textFill>
            <w14:solidFill>
              <w14:schemeClr w14:val="tx1"/>
            </w14:solidFill>
          </w14:textFill>
        </w:rPr>
      </w:pPr>
      <w:r>
        <w:rPr>
          <w:color w:val="000000" w:themeColor="text1"/>
          <w:szCs w:val="21"/>
          <w14:textFill>
            <w14:solidFill>
              <w14:schemeClr w14:val="tx1"/>
            </w14:solidFill>
          </w14:textFill>
        </w:rPr>
        <w:t>3、负责组织有关专家对项目试验成果评估报告的评审。</w:t>
      </w:r>
    </w:p>
    <w:p w14:paraId="16628039">
      <w:pPr>
        <w:ind w:firstLine="422" w:firstLineChars="200"/>
        <w:rPr>
          <w:b/>
          <w:bCs/>
          <w:color w:val="000000" w:themeColor="text1"/>
          <w:szCs w:val="21"/>
          <w14:textFill>
            <w14:solidFill>
              <w14:schemeClr w14:val="tx1"/>
            </w14:solidFill>
          </w14:textFill>
        </w:rPr>
      </w:pPr>
      <w:r>
        <w:rPr>
          <w:b/>
          <w:bCs/>
          <w:color w:val="000000" w:themeColor="text1"/>
          <w:szCs w:val="21"/>
          <w14:textFill>
            <w14:solidFill>
              <w14:schemeClr w14:val="tx1"/>
            </w14:solidFill>
          </w14:textFill>
        </w:rPr>
        <w:t>第七条　乙方的义务</w:t>
      </w:r>
    </w:p>
    <w:p w14:paraId="65E8C41D">
      <w:pPr>
        <w:ind w:firstLine="420" w:firstLineChars="200"/>
        <w:rPr>
          <w:color w:val="000000" w:themeColor="text1"/>
          <w:szCs w:val="21"/>
          <w14:textFill>
            <w14:solidFill>
              <w14:schemeClr w14:val="tx1"/>
            </w14:solidFill>
          </w14:textFill>
        </w:rPr>
      </w:pPr>
      <w:r>
        <w:rPr>
          <w:color w:val="000000" w:themeColor="text1"/>
          <w:szCs w:val="21"/>
          <w14:textFill>
            <w14:solidFill>
              <w14:schemeClr w14:val="tx1"/>
            </w14:solidFill>
          </w14:textFill>
        </w:rPr>
        <w:t>１、应按照号招标文件、乙方投标文件要求按期完成本项目咨询服务工作。</w:t>
      </w:r>
    </w:p>
    <w:p w14:paraId="75A0D0EA">
      <w:pPr>
        <w:ind w:firstLine="420" w:firstLineChars="200"/>
        <w:rPr>
          <w:color w:val="000000" w:themeColor="text1"/>
          <w:szCs w:val="21"/>
          <w14:textFill>
            <w14:solidFill>
              <w14:schemeClr w14:val="tx1"/>
            </w14:solidFill>
          </w14:textFill>
        </w:rPr>
      </w:pPr>
      <w:r>
        <w:rPr>
          <w:color w:val="000000" w:themeColor="text1"/>
          <w:szCs w:val="21"/>
          <w14:textFill>
            <w14:solidFill>
              <w14:schemeClr w14:val="tx1"/>
            </w14:solidFill>
          </w14:textFill>
        </w:rPr>
        <w:t>2、负责组织项目的实施，保证工程进度和成桥荷载试验工作质量，并满足交通部交工验收相关标准。</w:t>
      </w:r>
    </w:p>
    <w:p w14:paraId="20907F2D">
      <w:pPr>
        <w:ind w:firstLine="420" w:firstLineChars="200"/>
        <w:rPr>
          <w:color w:val="000000" w:themeColor="text1"/>
          <w:szCs w:val="21"/>
          <w14:textFill>
            <w14:solidFill>
              <w14:schemeClr w14:val="tx1"/>
            </w14:solidFill>
          </w14:textFill>
        </w:rPr>
      </w:pPr>
      <w:r>
        <w:rPr>
          <w:color w:val="000000" w:themeColor="text1"/>
          <w:szCs w:val="21"/>
          <w14:textFill>
            <w14:solidFill>
              <w14:schemeClr w14:val="tx1"/>
            </w14:solidFill>
          </w14:textFill>
        </w:rPr>
        <w:t>3、</w:t>
      </w:r>
      <w:r>
        <w:rPr>
          <w:color w:val="000000" w:themeColor="text1"/>
          <w14:textFill>
            <w14:solidFill>
              <w14:schemeClr w14:val="tx1"/>
            </w14:solidFill>
          </w14:textFill>
        </w:rPr>
        <w:t>向甲方提交检测资料等各套，一套电子版文件。</w:t>
      </w:r>
    </w:p>
    <w:p w14:paraId="07060762">
      <w:pPr>
        <w:ind w:firstLine="420" w:firstLineChars="200"/>
        <w:rPr>
          <w:color w:val="000000" w:themeColor="text1"/>
          <w:szCs w:val="21"/>
          <w14:textFill>
            <w14:solidFill>
              <w14:schemeClr w14:val="tx1"/>
            </w14:solidFill>
          </w14:textFill>
        </w:rPr>
      </w:pPr>
      <w:r>
        <w:rPr>
          <w:color w:val="000000" w:themeColor="text1"/>
          <w:szCs w:val="21"/>
          <w14:textFill>
            <w14:solidFill>
              <w14:schemeClr w14:val="tx1"/>
            </w14:solidFill>
          </w14:textFill>
        </w:rPr>
        <w:t>4、在履行合同期间或合同规定期限内，不得泄露与本合同规定业务活动有关的保密资料。</w:t>
      </w:r>
    </w:p>
    <w:p w14:paraId="669F3496">
      <w:pPr>
        <w:ind w:firstLine="422" w:firstLineChars="200"/>
        <w:rPr>
          <w:b/>
          <w:bCs/>
          <w:color w:val="000000" w:themeColor="text1"/>
          <w:szCs w:val="21"/>
          <w14:textFill>
            <w14:solidFill>
              <w14:schemeClr w14:val="tx1"/>
            </w14:solidFill>
          </w14:textFill>
        </w:rPr>
      </w:pPr>
      <w:r>
        <w:rPr>
          <w:b/>
          <w:bCs/>
          <w:color w:val="000000" w:themeColor="text1"/>
          <w:szCs w:val="21"/>
          <w14:textFill>
            <w14:solidFill>
              <w14:schemeClr w14:val="tx1"/>
            </w14:solidFill>
          </w14:textFill>
        </w:rPr>
        <w:t>第八条甲方的权利</w:t>
      </w:r>
    </w:p>
    <w:p w14:paraId="4B3B18F7">
      <w:pPr>
        <w:ind w:firstLine="420" w:firstLineChars="200"/>
        <w:rPr>
          <w:color w:val="000000" w:themeColor="text1"/>
          <w:szCs w:val="21"/>
          <w14:textFill>
            <w14:solidFill>
              <w14:schemeClr w14:val="tx1"/>
            </w14:solidFill>
          </w14:textFill>
        </w:rPr>
      </w:pPr>
      <w:r>
        <w:rPr>
          <w:color w:val="000000" w:themeColor="text1"/>
          <w:szCs w:val="21"/>
          <w14:textFill>
            <w14:solidFill>
              <w14:schemeClr w14:val="tx1"/>
            </w14:solidFill>
          </w14:textFill>
        </w:rPr>
        <w:t>1、有权向乙方询问工作进展情况及相关的内容。</w:t>
      </w:r>
    </w:p>
    <w:p w14:paraId="0C64F737">
      <w:pPr>
        <w:ind w:firstLine="420" w:firstLineChars="200"/>
        <w:rPr>
          <w:color w:val="000000" w:themeColor="text1"/>
          <w:szCs w:val="21"/>
          <w14:textFill>
            <w14:solidFill>
              <w14:schemeClr w14:val="tx1"/>
            </w14:solidFill>
          </w14:textFill>
        </w:rPr>
      </w:pPr>
      <w:r>
        <w:rPr>
          <w:color w:val="000000" w:themeColor="text1"/>
          <w:szCs w:val="21"/>
          <w14:textFill>
            <w14:solidFill>
              <w14:schemeClr w14:val="tx1"/>
            </w14:solidFill>
          </w14:textFill>
        </w:rPr>
        <w:t>2、有权阐述对具体问题的意见和建议。</w:t>
      </w:r>
    </w:p>
    <w:p w14:paraId="0AC92495">
      <w:pPr>
        <w:ind w:firstLine="420" w:firstLineChars="200"/>
        <w:rPr>
          <w:color w:val="000000" w:themeColor="text1"/>
          <w:szCs w:val="21"/>
          <w14:textFill>
            <w14:solidFill>
              <w14:schemeClr w14:val="tx1"/>
            </w14:solidFill>
          </w14:textFill>
        </w:rPr>
      </w:pPr>
      <w:r>
        <w:rPr>
          <w:color w:val="000000" w:themeColor="text1"/>
          <w:szCs w:val="21"/>
          <w14:textFill>
            <w14:solidFill>
              <w14:schemeClr w14:val="tx1"/>
            </w14:solidFill>
          </w14:textFill>
        </w:rPr>
        <w:t>3、当甲方认定乙方人员不按合同履行其职责，或与第三人串通给甲方造成经济损失的，甲方有权要求更换人员，直至终止合同并要求乙方承担相应的赔偿责任。</w:t>
      </w:r>
    </w:p>
    <w:p w14:paraId="2DD76CB5">
      <w:pPr>
        <w:ind w:firstLine="422" w:firstLineChars="200"/>
        <w:rPr>
          <w:b/>
          <w:bCs/>
          <w:color w:val="000000" w:themeColor="text1"/>
          <w:szCs w:val="21"/>
          <w14:textFill>
            <w14:solidFill>
              <w14:schemeClr w14:val="tx1"/>
            </w14:solidFill>
          </w14:textFill>
        </w:rPr>
      </w:pPr>
      <w:r>
        <w:rPr>
          <w:b/>
          <w:bCs/>
          <w:color w:val="000000" w:themeColor="text1"/>
          <w:szCs w:val="21"/>
          <w14:textFill>
            <w14:solidFill>
              <w14:schemeClr w14:val="tx1"/>
            </w14:solidFill>
          </w14:textFill>
        </w:rPr>
        <w:t>第九条乙方的权利</w:t>
      </w:r>
    </w:p>
    <w:p w14:paraId="28724713">
      <w:pPr>
        <w:ind w:firstLine="420" w:firstLineChars="200"/>
        <w:rPr>
          <w:color w:val="000000" w:themeColor="text1"/>
          <w:szCs w:val="21"/>
          <w14:textFill>
            <w14:solidFill>
              <w14:schemeClr w14:val="tx1"/>
            </w14:solidFill>
          </w14:textFill>
        </w:rPr>
      </w:pPr>
      <w:r>
        <w:rPr>
          <w:color w:val="000000" w:themeColor="text1"/>
          <w:szCs w:val="21"/>
          <w14:textFill>
            <w14:solidFill>
              <w14:schemeClr w14:val="tx1"/>
            </w14:solidFill>
          </w14:textFill>
        </w:rPr>
        <w:t>1、乙方在本项目服务过程中，如甲方提供的资料不明确时可向甲方提出书面报告。</w:t>
      </w:r>
    </w:p>
    <w:p w14:paraId="5CDE6334">
      <w:pPr>
        <w:ind w:firstLine="420" w:firstLineChars="200"/>
        <w:rPr>
          <w:color w:val="000000" w:themeColor="text1"/>
          <w:szCs w:val="21"/>
          <w14:textFill>
            <w14:solidFill>
              <w14:schemeClr w14:val="tx1"/>
            </w14:solidFill>
          </w14:textFill>
        </w:rPr>
      </w:pPr>
      <w:r>
        <w:rPr>
          <w:color w:val="000000" w:themeColor="text1"/>
          <w:szCs w:val="21"/>
          <w14:textFill>
            <w14:solidFill>
              <w14:schemeClr w14:val="tx1"/>
            </w14:solidFill>
          </w14:textFill>
        </w:rPr>
        <w:t>2、乙方在本项目服务过程中，有权对第三方提出与本咨询服务业务有关的问题进行核对或查问。</w:t>
      </w:r>
    </w:p>
    <w:p w14:paraId="66D70A68">
      <w:pPr>
        <w:ind w:firstLine="420" w:firstLineChars="200"/>
        <w:rPr>
          <w:color w:val="000000" w:themeColor="text1"/>
          <w:szCs w:val="21"/>
          <w14:textFill>
            <w14:solidFill>
              <w14:schemeClr w14:val="tx1"/>
            </w14:solidFill>
          </w14:textFill>
        </w:rPr>
      </w:pPr>
      <w:r>
        <w:rPr>
          <w:color w:val="000000" w:themeColor="text1"/>
          <w:szCs w:val="21"/>
          <w14:textFill>
            <w14:solidFill>
              <w14:schemeClr w14:val="tx1"/>
            </w14:solidFill>
          </w14:textFill>
        </w:rPr>
        <w:t>3、乙方在本项目服务过程中，有到工程现场勘察的权利。</w:t>
      </w:r>
    </w:p>
    <w:p w14:paraId="12EF97B0">
      <w:pPr>
        <w:ind w:firstLine="422" w:firstLineChars="200"/>
        <w:rPr>
          <w:b/>
          <w:bCs/>
          <w:color w:val="000000" w:themeColor="text1"/>
          <w:szCs w:val="21"/>
          <w14:textFill>
            <w14:solidFill>
              <w14:schemeClr w14:val="tx1"/>
            </w14:solidFill>
          </w14:textFill>
        </w:rPr>
      </w:pPr>
      <w:r>
        <w:rPr>
          <w:b/>
          <w:bCs/>
          <w:color w:val="000000" w:themeColor="text1"/>
          <w:szCs w:val="21"/>
          <w14:textFill>
            <w14:solidFill>
              <w14:schemeClr w14:val="tx1"/>
            </w14:solidFill>
          </w14:textFill>
        </w:rPr>
        <w:t>第十条甲方的责任</w:t>
      </w:r>
    </w:p>
    <w:p w14:paraId="353D35D7">
      <w:pPr>
        <w:ind w:firstLine="420" w:firstLineChars="200"/>
        <w:rPr>
          <w:color w:val="000000" w:themeColor="text1"/>
          <w:szCs w:val="21"/>
          <w14:textFill>
            <w14:solidFill>
              <w14:schemeClr w14:val="tx1"/>
            </w14:solidFill>
          </w14:textFill>
        </w:rPr>
      </w:pPr>
      <w:r>
        <w:rPr>
          <w:color w:val="000000" w:themeColor="text1"/>
          <w:szCs w:val="21"/>
          <w14:textFill>
            <w14:solidFill>
              <w14:schemeClr w14:val="tx1"/>
            </w14:solidFill>
          </w14:textFill>
        </w:rPr>
        <w:t>1、应当履行本合同约定的义务，如有违反则应当承担违约责任，赔偿给乙方造成的损失。</w:t>
      </w:r>
    </w:p>
    <w:p w14:paraId="18BD7740">
      <w:pPr>
        <w:ind w:firstLine="420" w:firstLineChars="200"/>
        <w:rPr>
          <w:color w:val="000000" w:themeColor="text1"/>
          <w:szCs w:val="21"/>
          <w14:textFill>
            <w14:solidFill>
              <w14:schemeClr w14:val="tx1"/>
            </w14:solidFill>
          </w14:textFill>
        </w:rPr>
      </w:pPr>
      <w:r>
        <w:rPr>
          <w:color w:val="000000" w:themeColor="text1"/>
          <w:szCs w:val="21"/>
          <w14:textFill>
            <w14:solidFill>
              <w14:schemeClr w14:val="tx1"/>
            </w14:solidFill>
          </w14:textFill>
        </w:rPr>
        <w:t>2、甲方向乙方提出赔偿要求不能成立时，则应补偿由于该赔偿或其他要求所导致乙方的各种费用的支出。</w:t>
      </w:r>
    </w:p>
    <w:p w14:paraId="44BE086F">
      <w:pPr>
        <w:ind w:firstLine="422" w:firstLineChars="200"/>
        <w:rPr>
          <w:b/>
          <w:bCs/>
          <w:color w:val="000000" w:themeColor="text1"/>
          <w:szCs w:val="21"/>
          <w14:textFill>
            <w14:solidFill>
              <w14:schemeClr w14:val="tx1"/>
            </w14:solidFill>
          </w14:textFill>
        </w:rPr>
      </w:pPr>
      <w:r>
        <w:rPr>
          <w:b/>
          <w:bCs/>
          <w:color w:val="000000" w:themeColor="text1"/>
          <w:szCs w:val="21"/>
          <w14:textFill>
            <w14:solidFill>
              <w14:schemeClr w14:val="tx1"/>
            </w14:solidFill>
          </w14:textFill>
        </w:rPr>
        <w:t>第十一条乙方的责任</w:t>
      </w:r>
    </w:p>
    <w:p w14:paraId="5C9E31CC">
      <w:pPr>
        <w:ind w:firstLine="420" w:firstLineChars="200"/>
        <w:rPr>
          <w:color w:val="000000" w:themeColor="text1"/>
          <w:szCs w:val="21"/>
          <w14:textFill>
            <w14:solidFill>
              <w14:schemeClr w14:val="tx1"/>
            </w14:solidFill>
          </w14:textFill>
        </w:rPr>
      </w:pPr>
      <w:r>
        <w:rPr>
          <w:color w:val="000000" w:themeColor="text1"/>
          <w:szCs w:val="21"/>
          <w14:textFill>
            <w14:solidFill>
              <w14:schemeClr w14:val="tx1"/>
            </w14:solidFill>
          </w14:textFill>
        </w:rPr>
        <w:t>1、乙方的责任期即本合同有效期。如因非乙方的责任造成进度的推迟或延误而超过约定的日期，双方应进一步约定相应延长合同有效期。</w:t>
      </w:r>
    </w:p>
    <w:p w14:paraId="622D4F28">
      <w:pPr>
        <w:ind w:firstLine="420" w:firstLineChars="200"/>
        <w:rPr>
          <w:color w:val="000000" w:themeColor="text1"/>
          <w:szCs w:val="21"/>
          <w14:textFill>
            <w14:solidFill>
              <w14:schemeClr w14:val="tx1"/>
            </w14:solidFill>
          </w14:textFill>
        </w:rPr>
      </w:pPr>
      <w:r>
        <w:rPr>
          <w:color w:val="000000" w:themeColor="text1"/>
          <w:szCs w:val="21"/>
          <w14:textFill>
            <w14:solidFill>
              <w14:schemeClr w14:val="tx1"/>
            </w14:solidFill>
          </w14:textFill>
        </w:rPr>
        <w:t>2、乙方的责任期内，应当履行本合同中约定的义务，因乙方的单方过失造成的经济损失，应当向甲方进行赔偿。</w:t>
      </w:r>
    </w:p>
    <w:p w14:paraId="3E385150">
      <w:pPr>
        <w:ind w:firstLine="420" w:firstLineChars="200"/>
        <w:rPr>
          <w:color w:val="000000" w:themeColor="text1"/>
          <w:szCs w:val="21"/>
          <w14:textFill>
            <w14:solidFill>
              <w14:schemeClr w14:val="tx1"/>
            </w14:solidFill>
          </w14:textFill>
        </w:rPr>
      </w:pPr>
      <w:r>
        <w:rPr>
          <w:color w:val="000000" w:themeColor="text1"/>
          <w:szCs w:val="21"/>
          <w14:textFill>
            <w14:solidFill>
              <w14:schemeClr w14:val="tx1"/>
            </w14:solidFill>
          </w14:textFill>
        </w:rPr>
        <w:t>3、乙方对甲方或第三方所提出的问题不能及时核对或答复，导致合同不能全部或部分履行，乙方应承担责任。</w:t>
      </w:r>
    </w:p>
    <w:p w14:paraId="1C25D2CF">
      <w:pPr>
        <w:ind w:firstLine="420" w:firstLineChars="200"/>
        <w:rPr>
          <w:color w:val="000000" w:themeColor="text1"/>
          <w:szCs w:val="21"/>
          <w14:textFill>
            <w14:solidFill>
              <w14:schemeClr w14:val="tx1"/>
            </w14:solidFill>
          </w14:textFill>
        </w:rPr>
      </w:pPr>
      <w:r>
        <w:rPr>
          <w:color w:val="000000" w:themeColor="text1"/>
          <w:szCs w:val="21"/>
          <w14:textFill>
            <w14:solidFill>
              <w14:schemeClr w14:val="tx1"/>
            </w14:solidFill>
          </w14:textFill>
        </w:rPr>
        <w:t>4、乙方向甲方提出赔偿要求不能成立时，则应补偿由于该赔偿或其他要求所导致甲方的各种费用的支出。</w:t>
      </w:r>
    </w:p>
    <w:p w14:paraId="32E98EE8">
      <w:pPr>
        <w:ind w:firstLine="422" w:firstLineChars="200"/>
        <w:rPr>
          <w:b/>
          <w:bCs/>
          <w:color w:val="000000" w:themeColor="text1"/>
          <w:szCs w:val="21"/>
          <w14:textFill>
            <w14:solidFill>
              <w14:schemeClr w14:val="tx1"/>
            </w14:solidFill>
          </w14:textFill>
        </w:rPr>
      </w:pPr>
      <w:r>
        <w:rPr>
          <w:b/>
          <w:bCs/>
          <w:color w:val="000000" w:themeColor="text1"/>
          <w:szCs w:val="21"/>
          <w14:textFill>
            <w14:solidFill>
              <w14:schemeClr w14:val="tx1"/>
            </w14:solidFill>
          </w14:textFill>
        </w:rPr>
        <w:t>第十二条人员要求</w:t>
      </w:r>
    </w:p>
    <w:p w14:paraId="2E1804BE">
      <w:pPr>
        <w:ind w:firstLine="420" w:firstLineChars="200"/>
        <w:rPr>
          <w:color w:val="000000" w:themeColor="text1"/>
          <w:szCs w:val="21"/>
          <w14:textFill>
            <w14:solidFill>
              <w14:schemeClr w14:val="tx1"/>
            </w14:solidFill>
          </w14:textFill>
        </w:rPr>
      </w:pPr>
      <w:r>
        <w:rPr>
          <w:color w:val="000000" w:themeColor="text1"/>
          <w:szCs w:val="21"/>
          <w14:textFill>
            <w14:solidFill>
              <w14:schemeClr w14:val="tx1"/>
            </w14:solidFill>
          </w14:textFill>
        </w:rPr>
        <w:t>1、参加本项目试验的人员必须具有国家和有关部门规定的相应资质。</w:t>
      </w:r>
    </w:p>
    <w:p w14:paraId="1C67E1EB">
      <w:pPr>
        <w:ind w:firstLine="420" w:firstLineChars="200"/>
        <w:rPr>
          <w:color w:val="000000" w:themeColor="text1"/>
          <w:szCs w:val="21"/>
          <w14:textFill>
            <w14:solidFill>
              <w14:schemeClr w14:val="tx1"/>
            </w14:solidFill>
          </w14:textFill>
        </w:rPr>
      </w:pPr>
      <w:r>
        <w:rPr>
          <w:color w:val="000000" w:themeColor="text1"/>
          <w:szCs w:val="21"/>
          <w14:textFill>
            <w14:solidFill>
              <w14:schemeClr w14:val="tx1"/>
            </w14:solidFill>
          </w14:textFill>
        </w:rPr>
        <w:t>2、参加本项目的试验人员的配置必须与投标文件中的服务承诺书和试验服务组织实施方案一致。</w:t>
      </w:r>
    </w:p>
    <w:p w14:paraId="71721156">
      <w:pPr>
        <w:ind w:firstLine="420" w:firstLineChars="200"/>
        <w:rPr>
          <w:color w:val="000000" w:themeColor="text1"/>
          <w:szCs w:val="21"/>
          <w14:textFill>
            <w14:solidFill>
              <w14:schemeClr w14:val="tx1"/>
            </w14:solidFill>
          </w14:textFill>
        </w:rPr>
      </w:pPr>
      <w:r>
        <w:rPr>
          <w:color w:val="000000" w:themeColor="text1"/>
          <w:szCs w:val="21"/>
          <w14:textFill>
            <w14:solidFill>
              <w14:schemeClr w14:val="tx1"/>
            </w14:solidFill>
          </w14:textFill>
        </w:rPr>
        <w:t>3、必须以直属试验人员参与本项目服务，不得使用挂靠队伍。</w:t>
      </w:r>
    </w:p>
    <w:p w14:paraId="3AF9A3FE">
      <w:pPr>
        <w:ind w:firstLine="422" w:firstLineChars="200"/>
        <w:rPr>
          <w:b/>
          <w:bCs/>
          <w:color w:val="000000" w:themeColor="text1"/>
          <w:szCs w:val="21"/>
          <w14:textFill>
            <w14:solidFill>
              <w14:schemeClr w14:val="tx1"/>
            </w14:solidFill>
          </w14:textFill>
        </w:rPr>
      </w:pPr>
      <w:r>
        <w:rPr>
          <w:b/>
          <w:bCs/>
          <w:color w:val="000000" w:themeColor="text1"/>
          <w:szCs w:val="21"/>
          <w14:textFill>
            <w14:solidFill>
              <w14:schemeClr w14:val="tx1"/>
            </w14:solidFill>
          </w14:textFill>
        </w:rPr>
        <w:t>第十三条乙方咨询服务工具要求</w:t>
      </w:r>
    </w:p>
    <w:p w14:paraId="031E06CD">
      <w:pPr>
        <w:ind w:firstLine="420" w:firstLineChars="200"/>
        <w:rPr>
          <w:color w:val="000000" w:themeColor="text1"/>
          <w:szCs w:val="21"/>
          <w14:textFill>
            <w14:solidFill>
              <w14:schemeClr w14:val="tx1"/>
            </w14:solidFill>
          </w14:textFill>
        </w:rPr>
      </w:pPr>
      <w:r>
        <w:rPr>
          <w:color w:val="000000" w:themeColor="text1"/>
          <w:szCs w:val="21"/>
          <w14:textFill>
            <w14:solidFill>
              <w14:schemeClr w14:val="tx1"/>
            </w14:solidFill>
          </w14:textFill>
        </w:rPr>
        <w:t>1、乙方应配备中标项目所需的足够数量的仪器、仪表以及工具等设备。用户不需向乙方提供施工工具和仪器、仪表。</w:t>
      </w:r>
    </w:p>
    <w:p w14:paraId="53661A87">
      <w:pPr>
        <w:ind w:firstLine="420" w:firstLineChars="200"/>
        <w:rPr>
          <w:color w:val="000000" w:themeColor="text1"/>
          <w:szCs w:val="21"/>
          <w14:textFill>
            <w14:solidFill>
              <w14:schemeClr w14:val="tx1"/>
            </w14:solidFill>
          </w14:textFill>
        </w:rPr>
      </w:pPr>
      <w:r>
        <w:rPr>
          <w:color w:val="000000" w:themeColor="text1"/>
          <w:szCs w:val="21"/>
          <w14:textFill>
            <w14:solidFill>
              <w14:schemeClr w14:val="tx1"/>
            </w14:solidFill>
          </w14:textFill>
        </w:rPr>
        <w:t>2、乙方在提供服务过程中应自备车辆。</w:t>
      </w:r>
    </w:p>
    <w:p w14:paraId="2391009A">
      <w:pPr>
        <w:ind w:firstLine="422" w:firstLineChars="200"/>
        <w:rPr>
          <w:b/>
          <w:bCs/>
          <w:color w:val="000000" w:themeColor="text1"/>
          <w:szCs w:val="21"/>
          <w14:textFill>
            <w14:solidFill>
              <w14:schemeClr w14:val="tx1"/>
            </w14:solidFill>
          </w14:textFill>
        </w:rPr>
      </w:pPr>
      <w:r>
        <w:rPr>
          <w:b/>
          <w:bCs/>
          <w:color w:val="000000" w:themeColor="text1"/>
          <w:szCs w:val="21"/>
          <w14:textFill>
            <w14:solidFill>
              <w14:schemeClr w14:val="tx1"/>
            </w14:solidFill>
          </w14:textFill>
        </w:rPr>
        <w:t>第十四条保密要求</w:t>
      </w:r>
    </w:p>
    <w:p w14:paraId="5E45FE26">
      <w:pPr>
        <w:ind w:firstLine="420" w:firstLineChars="200"/>
        <w:rPr>
          <w:color w:val="000000" w:themeColor="text1"/>
          <w:szCs w:val="21"/>
          <w14:textFill>
            <w14:solidFill>
              <w14:schemeClr w14:val="tx1"/>
            </w14:solidFill>
          </w14:textFill>
        </w:rPr>
      </w:pPr>
      <w:r>
        <w:rPr>
          <w:color w:val="000000" w:themeColor="text1"/>
          <w:szCs w:val="21"/>
          <w14:textFill>
            <w14:solidFill>
              <w14:schemeClr w14:val="tx1"/>
            </w14:solidFill>
          </w14:textFill>
        </w:rPr>
        <w:t>1、由甲方收集的、开发的、整理的、复制的、研究的和准备的与本合同项下工作有关的所有资料在提供给乙方时，均被视为保密的，不得泄漏给除甲方或其指定的代表之外的任何人、企业或公司，不管本合同因何种原因终止，本条款一直约束乙方。</w:t>
      </w:r>
    </w:p>
    <w:p w14:paraId="2B799AC4">
      <w:pPr>
        <w:ind w:firstLine="420" w:firstLineChars="200"/>
        <w:rPr>
          <w:color w:val="000000" w:themeColor="text1"/>
          <w:szCs w:val="21"/>
          <w14:textFill>
            <w14:solidFill>
              <w14:schemeClr w14:val="tx1"/>
            </w14:solidFill>
          </w14:textFill>
        </w:rPr>
      </w:pPr>
      <w:r>
        <w:rPr>
          <w:color w:val="000000" w:themeColor="text1"/>
          <w:szCs w:val="21"/>
          <w14:textFill>
            <w14:solidFill>
              <w14:schemeClr w14:val="tx1"/>
            </w14:solidFill>
          </w14:textFill>
        </w:rPr>
        <w:t>2、乙方在履行合同过程中所获得或接触到的任何内部数据资料，未经甲方同意，不得向第三方透露。</w:t>
      </w:r>
    </w:p>
    <w:p w14:paraId="2A303B30">
      <w:pPr>
        <w:ind w:firstLine="420" w:firstLineChars="200"/>
        <w:rPr>
          <w:color w:val="000000" w:themeColor="text1"/>
          <w:szCs w:val="21"/>
          <w14:textFill>
            <w14:solidFill>
              <w14:schemeClr w14:val="tx1"/>
            </w14:solidFill>
          </w14:textFill>
        </w:rPr>
      </w:pPr>
      <w:r>
        <w:rPr>
          <w:color w:val="000000" w:themeColor="text1"/>
          <w:szCs w:val="21"/>
          <w14:textFill>
            <w14:solidFill>
              <w14:schemeClr w14:val="tx1"/>
            </w14:solidFill>
          </w14:textFill>
        </w:rPr>
        <w:t>3、乙方实施项目的一切程序都应符合国家安全、保密的有关规定和标准。</w:t>
      </w:r>
    </w:p>
    <w:p w14:paraId="624CAA89">
      <w:pPr>
        <w:ind w:firstLine="420" w:firstLineChars="200"/>
        <w:rPr>
          <w:color w:val="000000" w:themeColor="text1"/>
          <w:szCs w:val="21"/>
          <w14:textFill>
            <w14:solidFill>
              <w14:schemeClr w14:val="tx1"/>
            </w14:solidFill>
          </w14:textFill>
        </w:rPr>
      </w:pPr>
      <w:r>
        <w:rPr>
          <w:color w:val="000000" w:themeColor="text1"/>
          <w:szCs w:val="21"/>
          <w14:textFill>
            <w14:solidFill>
              <w14:schemeClr w14:val="tx1"/>
            </w14:solidFill>
          </w14:textFill>
        </w:rPr>
        <w:t>4、乙方参加项目的有关人员均需同甲方签订保密协议。</w:t>
      </w:r>
    </w:p>
    <w:p w14:paraId="67278100">
      <w:pPr>
        <w:ind w:firstLine="422" w:firstLineChars="200"/>
        <w:rPr>
          <w:b/>
          <w:bCs/>
          <w:color w:val="000000" w:themeColor="text1"/>
          <w:szCs w:val="21"/>
          <w14:textFill>
            <w14:solidFill>
              <w14:schemeClr w14:val="tx1"/>
            </w14:solidFill>
          </w14:textFill>
        </w:rPr>
      </w:pPr>
      <w:r>
        <w:rPr>
          <w:b/>
          <w:bCs/>
          <w:color w:val="000000" w:themeColor="text1"/>
          <w:szCs w:val="21"/>
          <w14:textFill>
            <w14:solidFill>
              <w14:schemeClr w14:val="tx1"/>
            </w14:solidFill>
          </w14:textFill>
        </w:rPr>
        <w:t>第十五条验收</w:t>
      </w:r>
    </w:p>
    <w:p w14:paraId="2A3EEAF7">
      <w:pPr>
        <w:ind w:firstLine="420" w:firstLineChars="200"/>
        <w:rPr>
          <w:color w:val="000000" w:themeColor="text1"/>
          <w:szCs w:val="21"/>
          <w14:textFill>
            <w14:solidFill>
              <w14:schemeClr w14:val="tx1"/>
            </w14:solidFill>
          </w14:textFill>
        </w:rPr>
      </w:pPr>
      <w:r>
        <w:rPr>
          <w:color w:val="000000" w:themeColor="text1"/>
          <w:szCs w:val="21"/>
          <w14:textFill>
            <w14:solidFill>
              <w14:schemeClr w14:val="tx1"/>
            </w14:solidFill>
          </w14:textFill>
        </w:rPr>
        <w:t>1、下列文件的验收分为</w:t>
      </w:r>
      <w:r>
        <w:rPr>
          <w:color w:val="000000" w:themeColor="text1"/>
          <w:szCs w:val="21"/>
          <w:u w:val="single"/>
          <w14:textFill>
            <w14:solidFill>
              <w14:schemeClr w14:val="tx1"/>
            </w14:solidFill>
          </w14:textFill>
        </w:rPr>
        <w:t>三</w:t>
      </w:r>
      <w:r>
        <w:rPr>
          <w:color w:val="000000" w:themeColor="text1"/>
          <w:szCs w:val="21"/>
          <w14:textFill>
            <w14:solidFill>
              <w14:schemeClr w14:val="tx1"/>
            </w14:solidFill>
          </w14:textFill>
        </w:rPr>
        <w:t>个阶段:</w:t>
      </w:r>
    </w:p>
    <w:p w14:paraId="2CB0E4D8">
      <w:pPr>
        <w:ind w:firstLine="420" w:firstLineChars="200"/>
        <w:rPr>
          <w:color w:val="000000" w:themeColor="text1"/>
          <w:szCs w:val="21"/>
          <w14:textFill>
            <w14:solidFill>
              <w14:schemeClr w14:val="tx1"/>
            </w14:solidFill>
          </w14:textFill>
        </w:rPr>
      </w:pPr>
      <w:r>
        <w:rPr>
          <w:color w:val="000000" w:themeColor="text1"/>
          <w:szCs w:val="21"/>
          <w14:textFill>
            <w14:solidFill>
              <w14:schemeClr w14:val="tx1"/>
            </w14:solidFill>
          </w14:textFill>
        </w:rPr>
        <w:t>2、其余文件和工作由用户组织有关技术人员根据国家和行业有关规范、规程、标准和用户需求直接验收。</w:t>
      </w:r>
    </w:p>
    <w:p w14:paraId="791859FF">
      <w:pPr>
        <w:ind w:firstLine="420" w:firstLineChars="200"/>
        <w:rPr>
          <w:color w:val="000000" w:themeColor="text1"/>
          <w:szCs w:val="21"/>
          <w14:textFill>
            <w14:solidFill>
              <w14:schemeClr w14:val="tx1"/>
            </w14:solidFill>
          </w14:textFill>
        </w:rPr>
      </w:pPr>
      <w:r>
        <w:rPr>
          <w:color w:val="000000" w:themeColor="text1"/>
          <w:szCs w:val="21"/>
          <w14:textFill>
            <w14:solidFill>
              <w14:schemeClr w14:val="tx1"/>
            </w14:solidFill>
          </w14:textFill>
        </w:rPr>
        <w:t>3、验收依据为号招标文件、乙方投标文件，国家和行业有关规范、规程和标准。</w:t>
      </w:r>
    </w:p>
    <w:p w14:paraId="5894C335">
      <w:pPr>
        <w:ind w:firstLine="422" w:firstLineChars="200"/>
        <w:rPr>
          <w:b/>
          <w:bCs/>
          <w:color w:val="000000" w:themeColor="text1"/>
          <w:szCs w:val="21"/>
          <w14:textFill>
            <w14:solidFill>
              <w14:schemeClr w14:val="tx1"/>
            </w14:solidFill>
          </w14:textFill>
        </w:rPr>
      </w:pPr>
      <w:r>
        <w:rPr>
          <w:b/>
          <w:bCs/>
          <w:color w:val="000000" w:themeColor="text1"/>
          <w:szCs w:val="21"/>
          <w14:textFill>
            <w14:solidFill>
              <w14:schemeClr w14:val="tx1"/>
            </w14:solidFill>
          </w14:textFill>
        </w:rPr>
        <w:t>第十六条付款方式</w:t>
      </w:r>
    </w:p>
    <w:p w14:paraId="0B969051">
      <w:pPr>
        <w:ind w:firstLine="420" w:firstLineChars="200"/>
        <w:rPr>
          <w:color w:val="000000" w:themeColor="text1"/>
          <w:szCs w:val="21"/>
          <w14:textFill>
            <w14:solidFill>
              <w14:schemeClr w14:val="tx1"/>
            </w14:solidFill>
          </w14:textFill>
        </w:rPr>
      </w:pPr>
      <w:r>
        <w:rPr>
          <w:color w:val="000000" w:themeColor="text1"/>
          <w:szCs w:val="21"/>
          <w14:textFill>
            <w14:solidFill>
              <w14:schemeClr w14:val="tx1"/>
            </w14:solidFill>
          </w14:textFill>
        </w:rPr>
        <w:t>1、合同签订后天内，甲方向乙方支付合同总价%的款项。</w:t>
      </w:r>
    </w:p>
    <w:p w14:paraId="6C164CD4">
      <w:pPr>
        <w:ind w:firstLine="420" w:firstLineChars="200"/>
        <w:rPr>
          <w:color w:val="000000" w:themeColor="text1"/>
          <w:szCs w:val="21"/>
          <w14:textFill>
            <w14:solidFill>
              <w14:schemeClr w14:val="tx1"/>
            </w14:solidFill>
          </w14:textFill>
        </w:rPr>
      </w:pPr>
      <w:r>
        <w:rPr>
          <w:color w:val="000000" w:themeColor="text1"/>
          <w:szCs w:val="21"/>
          <w14:textFill>
            <w14:solidFill>
              <w14:schemeClr w14:val="tx1"/>
            </w14:solidFill>
          </w14:textFill>
        </w:rPr>
        <w:t>2、检测完成并提交评估报告后，甲方向乙方支付合同总价%的款项。</w:t>
      </w:r>
    </w:p>
    <w:p w14:paraId="4971C8B7">
      <w:pPr>
        <w:ind w:firstLine="420" w:firstLineChars="200"/>
        <w:rPr>
          <w:color w:val="000000" w:themeColor="text1"/>
          <w:szCs w:val="21"/>
          <w14:textFill>
            <w14:solidFill>
              <w14:schemeClr w14:val="tx1"/>
            </w14:solidFill>
          </w14:textFill>
        </w:rPr>
      </w:pPr>
      <w:r>
        <w:rPr>
          <w:color w:val="000000" w:themeColor="text1"/>
          <w:szCs w:val="21"/>
          <w14:textFill>
            <w14:solidFill>
              <w14:schemeClr w14:val="tx1"/>
            </w14:solidFill>
          </w14:textFill>
        </w:rPr>
        <w:t>3、报告通过专家评审后，甲方向乙方支付合同总价%的款项。</w:t>
      </w:r>
    </w:p>
    <w:p w14:paraId="6AC3A3FE">
      <w:pPr>
        <w:ind w:firstLine="422" w:firstLineChars="200"/>
        <w:rPr>
          <w:b/>
          <w:bCs/>
          <w:color w:val="000000" w:themeColor="text1"/>
          <w:szCs w:val="21"/>
          <w14:textFill>
            <w14:solidFill>
              <w14:schemeClr w14:val="tx1"/>
            </w14:solidFill>
          </w14:textFill>
        </w:rPr>
      </w:pPr>
      <w:r>
        <w:rPr>
          <w:b/>
          <w:bCs/>
          <w:color w:val="000000" w:themeColor="text1"/>
          <w:szCs w:val="21"/>
          <w14:textFill>
            <w14:solidFill>
              <w14:schemeClr w14:val="tx1"/>
            </w14:solidFill>
          </w14:textFill>
        </w:rPr>
        <w:t>第十七条争议解决办法</w:t>
      </w:r>
    </w:p>
    <w:p w14:paraId="2AF09186">
      <w:pPr>
        <w:ind w:firstLine="420" w:firstLineChars="200"/>
        <w:rPr>
          <w:color w:val="000000" w:themeColor="text1"/>
          <w:szCs w:val="21"/>
          <w14:textFill>
            <w14:solidFill>
              <w14:schemeClr w14:val="tx1"/>
            </w14:solidFill>
          </w14:textFill>
        </w:rPr>
      </w:pPr>
      <w:r>
        <w:rPr>
          <w:color w:val="000000" w:themeColor="text1"/>
          <w:szCs w:val="21"/>
          <w14:textFill>
            <w14:solidFill>
              <w14:schemeClr w14:val="tx1"/>
            </w14:solidFill>
          </w14:textFill>
        </w:rPr>
        <w:t>执行本合同发生的争议，由甲乙双方协商解决。</w:t>
      </w:r>
    </w:p>
    <w:p w14:paraId="58A157B3">
      <w:pPr>
        <w:ind w:firstLine="422" w:firstLineChars="200"/>
        <w:rPr>
          <w:b/>
          <w:bCs/>
          <w:color w:val="000000" w:themeColor="text1"/>
          <w:szCs w:val="21"/>
          <w14:textFill>
            <w14:solidFill>
              <w14:schemeClr w14:val="tx1"/>
            </w14:solidFill>
          </w14:textFill>
        </w:rPr>
      </w:pPr>
      <w:r>
        <w:rPr>
          <w:b/>
          <w:bCs/>
          <w:color w:val="000000" w:themeColor="text1"/>
          <w:szCs w:val="21"/>
          <w14:textFill>
            <w14:solidFill>
              <w14:schemeClr w14:val="tx1"/>
            </w14:solidFill>
          </w14:textFill>
        </w:rPr>
        <w:t>第十八条风险责任</w:t>
      </w:r>
    </w:p>
    <w:p w14:paraId="2E11E6FB">
      <w:pPr>
        <w:ind w:firstLine="420" w:firstLineChars="200"/>
        <w:rPr>
          <w:color w:val="000000" w:themeColor="text1"/>
          <w:szCs w:val="21"/>
          <w14:textFill>
            <w14:solidFill>
              <w14:schemeClr w14:val="tx1"/>
            </w14:solidFill>
          </w14:textFill>
        </w:rPr>
      </w:pPr>
      <w:r>
        <w:rPr>
          <w:color w:val="000000" w:themeColor="text1"/>
          <w:szCs w:val="21"/>
          <w14:textFill>
            <w14:solidFill>
              <w14:schemeClr w14:val="tx1"/>
            </w14:solidFill>
          </w14:textFill>
        </w:rPr>
        <w:t>１、乙方应完全地按照号招标文件的要求和乙方投标文件的承诺完成本项目，出于自身财务、技术、人力等原因导致项目失败的，应承担全部责任。</w:t>
      </w:r>
    </w:p>
    <w:p w14:paraId="4BD03383">
      <w:pPr>
        <w:ind w:firstLine="420" w:firstLineChars="200"/>
        <w:rPr>
          <w:color w:val="000000" w:themeColor="text1"/>
          <w:szCs w:val="21"/>
          <w14:textFill>
            <w14:solidFill>
              <w14:schemeClr w14:val="tx1"/>
            </w14:solidFill>
          </w14:textFill>
        </w:rPr>
      </w:pPr>
      <w:r>
        <w:rPr>
          <w:color w:val="000000" w:themeColor="text1"/>
          <w:szCs w:val="21"/>
          <w14:textFill>
            <w14:solidFill>
              <w14:schemeClr w14:val="tx1"/>
            </w14:solidFill>
          </w14:textFill>
        </w:rPr>
        <w:t>2、乙方在实施荷载试验过程中应对自身的安全生产负责，若由乙方原因发生的各种事故甲方不承担任何责任。</w:t>
      </w:r>
    </w:p>
    <w:p w14:paraId="0455105A">
      <w:pPr>
        <w:ind w:firstLine="422" w:firstLineChars="200"/>
        <w:rPr>
          <w:b/>
          <w:bCs/>
          <w:color w:val="000000" w:themeColor="text1"/>
          <w:szCs w:val="21"/>
          <w14:textFill>
            <w14:solidFill>
              <w14:schemeClr w14:val="tx1"/>
            </w14:solidFill>
          </w14:textFill>
        </w:rPr>
      </w:pPr>
      <w:r>
        <w:rPr>
          <w:b/>
          <w:bCs/>
          <w:color w:val="000000" w:themeColor="text1"/>
          <w:szCs w:val="21"/>
          <w14:textFill>
            <w14:solidFill>
              <w14:schemeClr w14:val="tx1"/>
            </w14:solidFill>
          </w14:textFill>
        </w:rPr>
        <w:t>第十九条违约责任</w:t>
      </w:r>
    </w:p>
    <w:p w14:paraId="795FFA47">
      <w:pPr>
        <w:pStyle w:val="21"/>
        <w:spacing w:line="240" w:lineRule="auto"/>
        <w:rPr>
          <w:color w:val="000000" w:themeColor="text1"/>
          <w:szCs w:val="21"/>
          <w14:textFill>
            <w14:solidFill>
              <w14:schemeClr w14:val="tx1"/>
            </w14:solidFill>
          </w14:textFill>
        </w:rPr>
      </w:pPr>
      <w:r>
        <w:rPr>
          <w:color w:val="000000" w:themeColor="text1"/>
          <w:szCs w:val="21"/>
          <w14:textFill>
            <w14:solidFill>
              <w14:schemeClr w14:val="tx1"/>
            </w14:solidFill>
          </w14:textFill>
        </w:rPr>
        <w:t>１、因乙方原因，未能按规定时间完成有关工作的，每延误一天，甲方可在支付合同余款中扣除合同价款千分之一。</w:t>
      </w:r>
    </w:p>
    <w:p w14:paraId="77F5BBB1">
      <w:pPr>
        <w:ind w:firstLine="420" w:firstLineChars="200"/>
        <w:rPr>
          <w:color w:val="000000" w:themeColor="text1"/>
          <w:szCs w:val="21"/>
          <w14:textFill>
            <w14:solidFill>
              <w14:schemeClr w14:val="tx1"/>
            </w14:solidFill>
          </w14:textFill>
        </w:rPr>
      </w:pPr>
      <w:r>
        <w:rPr>
          <w:color w:val="000000" w:themeColor="text1"/>
          <w:szCs w:val="21"/>
          <w14:textFill>
            <w14:solidFill>
              <w14:schemeClr w14:val="tx1"/>
            </w14:solidFill>
          </w14:textFill>
        </w:rPr>
        <w:t>2、由于乙方原因造成试验成果质量低劣，不能满足大纲要求时，应继续完善试验工作，其费用由乙方承担。</w:t>
      </w:r>
    </w:p>
    <w:p w14:paraId="59CD8C22">
      <w:pPr>
        <w:ind w:firstLine="420" w:firstLineChars="200"/>
        <w:rPr>
          <w:color w:val="000000" w:themeColor="text1"/>
          <w:szCs w:val="21"/>
          <w14:textFill>
            <w14:solidFill>
              <w14:schemeClr w14:val="tx1"/>
            </w14:solidFill>
          </w14:textFill>
        </w:rPr>
      </w:pPr>
      <w:r>
        <w:rPr>
          <w:color w:val="000000" w:themeColor="text1"/>
          <w:szCs w:val="21"/>
          <w14:textFill>
            <w14:solidFill>
              <w14:schemeClr w14:val="tx1"/>
            </w14:solidFill>
          </w14:textFill>
        </w:rPr>
        <w:t>3、如乙方提供的咨询服务文件不符合质量要求，必须在甲方提出要求后7天内无条件修改，其费用由乙方承担。</w:t>
      </w:r>
    </w:p>
    <w:p w14:paraId="35653185">
      <w:pPr>
        <w:ind w:firstLine="420" w:firstLineChars="200"/>
        <w:rPr>
          <w:color w:val="000000" w:themeColor="text1"/>
          <w:szCs w:val="21"/>
          <w14:textFill>
            <w14:solidFill>
              <w14:schemeClr w14:val="tx1"/>
            </w14:solidFill>
          </w14:textFill>
        </w:rPr>
      </w:pPr>
      <w:r>
        <w:rPr>
          <w:color w:val="000000" w:themeColor="text1"/>
          <w:szCs w:val="21"/>
          <w14:textFill>
            <w14:solidFill>
              <w14:schemeClr w14:val="tx1"/>
            </w14:solidFill>
          </w14:textFill>
        </w:rPr>
        <w:t>4、若甲方发现乙方派出的试验服务人员或提供的试验仪器设备不符合合同要求，乙方应在3天之内按要求派出人员或提供满足投标文件承诺的仪器设备，否则甲方有权终止合同，并保留追究乙方责任及要求赔偿损失的权利。</w:t>
      </w:r>
    </w:p>
    <w:p w14:paraId="7CE73108">
      <w:pPr>
        <w:ind w:firstLine="422" w:firstLineChars="200"/>
        <w:rPr>
          <w:b/>
          <w:bCs/>
          <w:color w:val="000000" w:themeColor="text1"/>
          <w:szCs w:val="21"/>
          <w14:textFill>
            <w14:solidFill>
              <w14:schemeClr w14:val="tx1"/>
            </w14:solidFill>
          </w14:textFill>
        </w:rPr>
      </w:pPr>
      <w:r>
        <w:rPr>
          <w:b/>
          <w:bCs/>
          <w:color w:val="000000" w:themeColor="text1"/>
          <w:szCs w:val="21"/>
          <w14:textFill>
            <w14:solidFill>
              <w14:schemeClr w14:val="tx1"/>
            </w14:solidFill>
          </w14:textFill>
        </w:rPr>
        <w:t>第二十条其他</w:t>
      </w:r>
    </w:p>
    <w:p w14:paraId="5A10E746">
      <w:pPr>
        <w:ind w:firstLine="420" w:firstLineChars="200"/>
        <w:rPr>
          <w:color w:val="000000" w:themeColor="text1"/>
          <w:szCs w:val="21"/>
          <w14:textFill>
            <w14:solidFill>
              <w14:schemeClr w14:val="tx1"/>
            </w14:solidFill>
          </w14:textFill>
        </w:rPr>
      </w:pPr>
      <w:r>
        <w:rPr>
          <w:color w:val="000000" w:themeColor="text1"/>
          <w:szCs w:val="21"/>
          <w14:textFill>
            <w14:solidFill>
              <w14:schemeClr w14:val="tx1"/>
            </w14:solidFill>
          </w14:textFill>
        </w:rPr>
        <w:t>1、本合同与号招标文件、乙方投标文件如有抵触之处，以本合同条款为准。</w:t>
      </w:r>
    </w:p>
    <w:p w14:paraId="2505F619">
      <w:pPr>
        <w:ind w:firstLine="420" w:firstLineChars="200"/>
        <w:rPr>
          <w:color w:val="000000" w:themeColor="text1"/>
          <w:szCs w:val="21"/>
          <w14:textFill>
            <w14:solidFill>
              <w14:schemeClr w14:val="tx1"/>
            </w14:solidFill>
          </w14:textFill>
        </w:rPr>
      </w:pPr>
      <w:r>
        <w:rPr>
          <w:color w:val="000000" w:themeColor="text1"/>
          <w:szCs w:val="21"/>
          <w14:textFill>
            <w14:solidFill>
              <w14:schemeClr w14:val="tx1"/>
            </w14:solidFill>
          </w14:textFill>
        </w:rPr>
        <w:t>2、下列文件均为本合同的组成部分：</w:t>
      </w:r>
    </w:p>
    <w:p w14:paraId="140F4D92">
      <w:pPr>
        <w:ind w:firstLine="420" w:firstLineChars="200"/>
        <w:rPr>
          <w:color w:val="000000" w:themeColor="text1"/>
          <w:szCs w:val="21"/>
          <w14:textFill>
            <w14:solidFill>
              <w14:schemeClr w14:val="tx1"/>
            </w14:solidFill>
          </w14:textFill>
        </w:rPr>
      </w:pPr>
      <w:r>
        <w:rPr>
          <w:color w:val="000000" w:themeColor="text1"/>
          <w:szCs w:val="21"/>
          <w14:textFill>
            <w14:solidFill>
              <w14:schemeClr w14:val="tx1"/>
            </w14:solidFill>
          </w14:textFill>
        </w:rPr>
        <w:t>（1）号招标文件、答疑及补充通知；</w:t>
      </w:r>
    </w:p>
    <w:p w14:paraId="683F97C6">
      <w:pPr>
        <w:ind w:firstLine="420" w:firstLineChars="200"/>
        <w:rPr>
          <w:color w:val="000000" w:themeColor="text1"/>
          <w:szCs w:val="21"/>
          <w14:textFill>
            <w14:solidFill>
              <w14:schemeClr w14:val="tx1"/>
            </w14:solidFill>
          </w14:textFill>
        </w:rPr>
      </w:pPr>
      <w:r>
        <w:rPr>
          <w:color w:val="000000" w:themeColor="text1"/>
          <w:szCs w:val="21"/>
          <w14:textFill>
            <w14:solidFill>
              <w14:schemeClr w14:val="tx1"/>
            </w14:solidFill>
          </w14:textFill>
        </w:rPr>
        <w:t>（2）投标文件；</w:t>
      </w:r>
    </w:p>
    <w:p w14:paraId="0962C165">
      <w:pPr>
        <w:ind w:firstLine="420" w:firstLineChars="200"/>
        <w:rPr>
          <w:color w:val="000000" w:themeColor="text1"/>
          <w:szCs w:val="21"/>
          <w14:textFill>
            <w14:solidFill>
              <w14:schemeClr w14:val="tx1"/>
            </w14:solidFill>
          </w14:textFill>
        </w:rPr>
      </w:pPr>
      <w:r>
        <w:rPr>
          <w:color w:val="000000" w:themeColor="text1"/>
          <w:szCs w:val="21"/>
          <w14:textFill>
            <w14:solidFill>
              <w14:schemeClr w14:val="tx1"/>
            </w14:solidFill>
          </w14:textFill>
        </w:rPr>
        <w:t>（3）本合同执行中共同签署的补充与修正文件。</w:t>
      </w:r>
    </w:p>
    <w:p w14:paraId="10C0AADB">
      <w:pPr>
        <w:ind w:firstLine="420" w:firstLineChars="200"/>
        <w:rPr>
          <w:color w:val="000000" w:themeColor="text1"/>
          <w:szCs w:val="21"/>
          <w14:textFill>
            <w14:solidFill>
              <w14:schemeClr w14:val="tx1"/>
            </w14:solidFill>
          </w14:textFill>
        </w:rPr>
      </w:pPr>
      <w:r>
        <w:rPr>
          <w:color w:val="000000" w:themeColor="text1"/>
          <w:szCs w:val="21"/>
          <w14:textFill>
            <w14:solidFill>
              <w14:schemeClr w14:val="tx1"/>
            </w14:solidFill>
          </w14:textFill>
        </w:rPr>
        <w:t>本合同一式份，甲、乙方双方各执份，具有同等法律效力。本合同自双方法人代表签字（盖章）认可之日起生效。</w:t>
      </w:r>
    </w:p>
    <w:p w14:paraId="0A033DA1">
      <w:pPr>
        <w:ind w:firstLine="420" w:firstLineChars="200"/>
        <w:rPr>
          <w:color w:val="000000" w:themeColor="text1"/>
          <w:szCs w:val="21"/>
          <w14:textFill>
            <w14:solidFill>
              <w14:schemeClr w14:val="tx1"/>
            </w14:solidFill>
          </w14:textFill>
        </w:rPr>
      </w:pPr>
      <w:r>
        <w:rPr>
          <w:color w:val="000000" w:themeColor="text1"/>
          <w:szCs w:val="21"/>
          <w14:textFill>
            <w14:solidFill>
              <w14:schemeClr w14:val="tx1"/>
            </w14:solidFill>
          </w14:textFill>
        </w:rPr>
        <w:t>本合同未尽事宜，双方友好协商，达成解决方案，经双方签字后，可作为本合同的有效附件。</w:t>
      </w:r>
    </w:p>
    <w:p w14:paraId="28B2D52C">
      <w:pPr>
        <w:ind w:firstLine="420" w:firstLineChars="200"/>
        <w:rPr>
          <w:color w:val="000000" w:themeColor="text1"/>
          <w:szCs w:val="21"/>
          <w14:textFill>
            <w14:solidFill>
              <w14:schemeClr w14:val="tx1"/>
            </w14:solidFill>
          </w14:textFill>
        </w:rPr>
      </w:pPr>
    </w:p>
    <w:p w14:paraId="4BEC4E6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000000"/>
          <w:sz w:val="24"/>
        </w:rPr>
      </w:pPr>
    </w:p>
    <w:p w14:paraId="23134C43">
      <w:pPr>
        <w:pStyle w:val="32"/>
        <w:spacing w:line="360" w:lineRule="auto"/>
        <w:rPr>
          <w:rFonts w:hint="eastAsia" w:ascii="宋体" w:hAnsi="宋体" w:eastAsia="宋体" w:cs="宋体"/>
          <w:color w:val="000000"/>
          <w:szCs w:val="21"/>
          <w:lang w:eastAsia="zh-CN"/>
        </w:rPr>
      </w:pPr>
      <w:r>
        <w:rPr>
          <w:rFonts w:hint="eastAsia" w:ascii="宋体" w:hAnsi="宋体" w:eastAsia="宋体" w:cs="宋体"/>
          <w:color w:val="000000"/>
          <w:szCs w:val="21"/>
          <w:lang w:eastAsia="zh-CN"/>
        </w:rPr>
        <w:t>（以下无正文）</w:t>
      </w:r>
    </w:p>
    <w:p w14:paraId="2A7BCB82">
      <w:pPr>
        <w:bidi w:val="0"/>
        <w:rPr>
          <w:rFonts w:hint="eastAsia"/>
          <w:lang w:eastAsia="zh-CN"/>
        </w:rPr>
      </w:pPr>
    </w:p>
    <w:tbl>
      <w:tblPr>
        <w:tblStyle w:val="4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166"/>
        <w:gridCol w:w="4356"/>
      </w:tblGrid>
      <w:tr w14:paraId="5D38CD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66" w:type="dxa"/>
            <w:tcBorders>
              <w:top w:val="nil"/>
              <w:left w:val="nil"/>
              <w:bottom w:val="nil"/>
              <w:right w:val="nil"/>
            </w:tcBorders>
            <w:noWrap w:val="0"/>
            <w:vAlign w:val="top"/>
          </w:tcPr>
          <w:p w14:paraId="7DD1E350">
            <w:pPr>
              <w:ind w:firstLine="420" w:firstLineChars="200"/>
              <w:rPr>
                <w:rFonts w:hint="default" w:ascii="Times New Roman" w:hAnsi="Times New Roman" w:eastAsia="宋体" w:cs="Times New Roman"/>
                <w:color w:val="000000" w:themeColor="text1"/>
                <w:sz w:val="21"/>
                <w:szCs w:val="21"/>
                <w:lang w:eastAsia="zh-CN"/>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甲方（公章）：</w:t>
            </w:r>
            <w:r>
              <w:rPr>
                <w:rFonts w:hint="default" w:ascii="Times New Roman" w:hAnsi="Times New Roman" w:eastAsia="宋体" w:cs="Times New Roman"/>
                <w:color w:val="000000" w:themeColor="text1"/>
                <w:sz w:val="21"/>
                <w:szCs w:val="21"/>
                <w:lang w:eastAsia="zh-CN"/>
                <w14:textFill>
                  <w14:solidFill>
                    <w14:schemeClr w14:val="tx1"/>
                  </w14:solidFill>
                </w14:textFill>
              </w:rPr>
              <w:t>深圳市龙华区中心医院</w:t>
            </w:r>
          </w:p>
        </w:tc>
        <w:tc>
          <w:tcPr>
            <w:tcW w:w="4356" w:type="dxa"/>
            <w:tcBorders>
              <w:top w:val="nil"/>
              <w:left w:val="nil"/>
              <w:bottom w:val="nil"/>
              <w:right w:val="nil"/>
            </w:tcBorders>
            <w:noWrap w:val="0"/>
            <w:vAlign w:val="top"/>
          </w:tcPr>
          <w:p w14:paraId="4D4D478A">
            <w:pPr>
              <w:ind w:firstLine="420" w:firstLineChars="200"/>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乙方（公章）：</w:t>
            </w:r>
          </w:p>
          <w:p w14:paraId="7232A30E">
            <w:pPr>
              <w:ind w:firstLine="420" w:firstLineChars="200"/>
              <w:rPr>
                <w:rFonts w:hint="default" w:ascii="Times New Roman" w:hAnsi="Times New Roman" w:eastAsia="宋体" w:cs="Times New Roman"/>
                <w:color w:val="000000" w:themeColor="text1"/>
                <w:szCs w:val="21"/>
                <w:lang w:eastAsia="zh-CN"/>
                <w14:textFill>
                  <w14:solidFill>
                    <w14:schemeClr w14:val="tx1"/>
                  </w14:solidFill>
                </w14:textFill>
              </w:rPr>
            </w:pPr>
          </w:p>
        </w:tc>
      </w:tr>
      <w:tr w14:paraId="289B3F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66" w:type="dxa"/>
            <w:tcBorders>
              <w:top w:val="nil"/>
              <w:left w:val="nil"/>
              <w:bottom w:val="nil"/>
              <w:right w:val="nil"/>
            </w:tcBorders>
            <w:noWrap w:val="0"/>
            <w:vAlign w:val="top"/>
          </w:tcPr>
          <w:p w14:paraId="11616F6B">
            <w:pPr>
              <w:ind w:firstLine="420" w:firstLineChars="200"/>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 xml:space="preserve">法定代表人或受委托人 </w:t>
            </w:r>
          </w:p>
          <w:p w14:paraId="19249F33">
            <w:pPr>
              <w:ind w:firstLine="420" w:firstLineChars="200"/>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（签字）</w:t>
            </w:r>
          </w:p>
        </w:tc>
        <w:tc>
          <w:tcPr>
            <w:tcW w:w="4356" w:type="dxa"/>
            <w:tcBorders>
              <w:top w:val="nil"/>
              <w:left w:val="nil"/>
              <w:bottom w:val="nil"/>
              <w:right w:val="nil"/>
            </w:tcBorders>
            <w:noWrap w:val="0"/>
            <w:vAlign w:val="top"/>
          </w:tcPr>
          <w:p w14:paraId="6BC2AB78">
            <w:pPr>
              <w:ind w:firstLine="420" w:firstLineChars="200"/>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法定代表人或受委托人</w:t>
            </w:r>
          </w:p>
          <w:p w14:paraId="72F568D6">
            <w:pPr>
              <w:ind w:firstLine="420" w:firstLineChars="200"/>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（签字）</w:t>
            </w:r>
          </w:p>
        </w:tc>
      </w:tr>
      <w:tr w14:paraId="025D17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66" w:type="dxa"/>
            <w:tcBorders>
              <w:top w:val="nil"/>
              <w:left w:val="nil"/>
              <w:bottom w:val="nil"/>
              <w:right w:val="nil"/>
            </w:tcBorders>
            <w:noWrap w:val="0"/>
            <w:vAlign w:val="top"/>
          </w:tcPr>
          <w:p w14:paraId="180773B1">
            <w:pPr>
              <w:ind w:firstLine="420" w:firstLineChars="200"/>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地址：深圳市龙华区福城街道观澜大道187号</w:t>
            </w:r>
          </w:p>
        </w:tc>
        <w:tc>
          <w:tcPr>
            <w:tcW w:w="4356" w:type="dxa"/>
            <w:tcBorders>
              <w:top w:val="nil"/>
              <w:left w:val="nil"/>
              <w:bottom w:val="nil"/>
              <w:right w:val="nil"/>
            </w:tcBorders>
            <w:noWrap w:val="0"/>
            <w:vAlign w:val="top"/>
          </w:tcPr>
          <w:p w14:paraId="0D765613">
            <w:pPr>
              <w:ind w:firstLine="420" w:firstLineChars="200"/>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地址：</w:t>
            </w:r>
          </w:p>
        </w:tc>
      </w:tr>
      <w:tr w14:paraId="1366C8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66" w:type="dxa"/>
            <w:tcBorders>
              <w:top w:val="nil"/>
              <w:left w:val="nil"/>
              <w:bottom w:val="nil"/>
              <w:right w:val="nil"/>
            </w:tcBorders>
            <w:noWrap w:val="0"/>
            <w:vAlign w:val="top"/>
          </w:tcPr>
          <w:p w14:paraId="2A32A160">
            <w:pPr>
              <w:ind w:firstLine="420" w:firstLineChars="200"/>
              <w:rPr>
                <w:rFonts w:hint="default" w:ascii="Times New Roman" w:hAnsi="Times New Roman" w:eastAsia="宋体" w:cs="Times New Roman"/>
                <w:color w:val="000000" w:themeColor="text1"/>
                <w:sz w:val="21"/>
                <w:szCs w:val="21"/>
                <w:vertAlign w:val="baseline"/>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邮编：518110</w:t>
            </w:r>
          </w:p>
        </w:tc>
        <w:tc>
          <w:tcPr>
            <w:tcW w:w="4356" w:type="dxa"/>
            <w:tcBorders>
              <w:top w:val="nil"/>
              <w:left w:val="nil"/>
              <w:bottom w:val="nil"/>
              <w:right w:val="nil"/>
            </w:tcBorders>
            <w:noWrap w:val="0"/>
            <w:vAlign w:val="top"/>
          </w:tcPr>
          <w:p w14:paraId="3A369624">
            <w:pPr>
              <w:ind w:firstLine="420" w:firstLineChars="200"/>
              <w:rPr>
                <w:rFonts w:hint="default" w:ascii="Times New Roman" w:hAnsi="Times New Roman" w:eastAsia="宋体" w:cs="Times New Roman"/>
                <w:color w:val="000000" w:themeColor="text1"/>
                <w:sz w:val="21"/>
                <w:szCs w:val="21"/>
                <w:vertAlign w:val="baseli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邮编：</w:t>
            </w:r>
          </w:p>
        </w:tc>
      </w:tr>
      <w:tr w14:paraId="2B6047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66" w:type="dxa"/>
            <w:tcBorders>
              <w:top w:val="nil"/>
              <w:left w:val="nil"/>
              <w:bottom w:val="nil"/>
              <w:right w:val="nil"/>
            </w:tcBorders>
            <w:noWrap w:val="0"/>
            <w:vAlign w:val="top"/>
          </w:tcPr>
          <w:p w14:paraId="03BE83D8">
            <w:pPr>
              <w:ind w:firstLine="420" w:firstLineChars="200"/>
              <w:rPr>
                <w:rFonts w:hint="default" w:ascii="Times New Roman" w:hAnsi="Times New Roman" w:eastAsia="宋体" w:cs="Times New Roman"/>
                <w:color w:val="000000" w:themeColor="text1"/>
                <w:sz w:val="21"/>
                <w:szCs w:val="21"/>
                <w:vertAlign w:val="baseline"/>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电话：</w:t>
            </w:r>
            <w:r>
              <w:rPr>
                <w:rFonts w:hint="default" w:ascii="Times New Roman" w:hAnsi="Times New Roman" w:eastAsia="宋体" w:cs="Times New Roman"/>
                <w:color w:val="000000" w:themeColor="text1"/>
                <w:sz w:val="21"/>
                <w:szCs w:val="21"/>
                <w:lang w:val="en-US" w:eastAsia="zh-CN"/>
                <w14:textFill>
                  <w14:solidFill>
                    <w14:schemeClr w14:val="tx1"/>
                  </w14:solidFill>
                </w14:textFill>
              </w:rPr>
              <w:t>0755-23772842</w:t>
            </w:r>
            <w:r>
              <w:rPr>
                <w:rFonts w:hint="default" w:ascii="Times New Roman" w:hAnsi="Times New Roman" w:eastAsia="宋体" w:cs="Times New Roman"/>
                <w:color w:val="000000" w:themeColor="text1"/>
                <w:sz w:val="21"/>
                <w:szCs w:val="21"/>
                <w14:textFill>
                  <w14:solidFill>
                    <w14:schemeClr w14:val="tx1"/>
                  </w14:solidFill>
                </w14:textFill>
              </w:rPr>
              <w:t xml:space="preserve"> </w:t>
            </w:r>
          </w:p>
        </w:tc>
        <w:tc>
          <w:tcPr>
            <w:tcW w:w="4356" w:type="dxa"/>
            <w:tcBorders>
              <w:top w:val="nil"/>
              <w:left w:val="nil"/>
              <w:bottom w:val="nil"/>
              <w:right w:val="nil"/>
            </w:tcBorders>
            <w:noWrap w:val="0"/>
            <w:vAlign w:val="top"/>
          </w:tcPr>
          <w:p w14:paraId="45B9E4FB">
            <w:pPr>
              <w:ind w:firstLine="420" w:firstLineChars="200"/>
              <w:rPr>
                <w:rFonts w:hint="default" w:ascii="Times New Roman" w:hAnsi="Times New Roman" w:eastAsia="宋体" w:cs="Times New Roman"/>
                <w:color w:val="000000" w:themeColor="text1"/>
                <w:sz w:val="21"/>
                <w:szCs w:val="21"/>
                <w:vertAlign w:val="baseli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电话：</w:t>
            </w:r>
          </w:p>
        </w:tc>
      </w:tr>
      <w:tr w14:paraId="48D9D3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66" w:type="dxa"/>
            <w:tcBorders>
              <w:top w:val="nil"/>
              <w:left w:val="nil"/>
              <w:bottom w:val="nil"/>
              <w:right w:val="nil"/>
            </w:tcBorders>
            <w:noWrap w:val="0"/>
            <w:vAlign w:val="top"/>
          </w:tcPr>
          <w:p w14:paraId="307DE476">
            <w:pPr>
              <w:ind w:firstLine="420" w:firstLineChars="200"/>
              <w:rPr>
                <w:rFonts w:hint="default" w:ascii="Times New Roman" w:hAnsi="Times New Roman" w:eastAsia="宋体" w:cs="Times New Roman"/>
                <w:color w:val="000000" w:themeColor="text1"/>
                <w:sz w:val="21"/>
                <w:szCs w:val="21"/>
                <w:vertAlign w:val="baseline"/>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开户银行：工商银行新澜支行</w:t>
            </w:r>
          </w:p>
        </w:tc>
        <w:tc>
          <w:tcPr>
            <w:tcW w:w="4356" w:type="dxa"/>
            <w:tcBorders>
              <w:top w:val="nil"/>
              <w:left w:val="nil"/>
              <w:bottom w:val="nil"/>
              <w:right w:val="nil"/>
            </w:tcBorders>
            <w:noWrap w:val="0"/>
            <w:vAlign w:val="center"/>
          </w:tcPr>
          <w:p w14:paraId="07624195">
            <w:pPr>
              <w:ind w:firstLine="420" w:firstLineChars="200"/>
              <w:jc w:val="left"/>
              <w:rPr>
                <w:rFonts w:hint="default" w:ascii="Times New Roman" w:hAnsi="Times New Roman" w:eastAsia="宋体" w:cs="Times New Roman"/>
                <w:color w:val="000000" w:themeColor="text1"/>
                <w:sz w:val="21"/>
                <w:szCs w:val="21"/>
                <w:vertAlign w:val="baseline"/>
                <w:lang w:eastAsia="zh-CN"/>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开户银行</w:t>
            </w:r>
            <w:r>
              <w:rPr>
                <w:rFonts w:hint="default" w:ascii="Times New Roman" w:hAnsi="Times New Roman" w:eastAsia="宋体" w:cs="Times New Roman"/>
                <w:color w:val="000000" w:themeColor="text1"/>
                <w:sz w:val="21"/>
                <w:szCs w:val="21"/>
                <w:lang w:eastAsia="zh-CN"/>
                <w14:textFill>
                  <w14:solidFill>
                    <w14:schemeClr w14:val="tx1"/>
                  </w14:solidFill>
                </w14:textFill>
              </w:rPr>
              <w:t>：</w:t>
            </w:r>
          </w:p>
        </w:tc>
      </w:tr>
      <w:tr w14:paraId="47451E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66" w:type="dxa"/>
            <w:tcBorders>
              <w:top w:val="nil"/>
              <w:left w:val="nil"/>
              <w:bottom w:val="nil"/>
              <w:right w:val="nil"/>
            </w:tcBorders>
            <w:noWrap w:val="0"/>
            <w:vAlign w:val="top"/>
          </w:tcPr>
          <w:p w14:paraId="364F7125">
            <w:pPr>
              <w:ind w:firstLine="420" w:firstLineChars="200"/>
              <w:rPr>
                <w:rFonts w:hint="default" w:ascii="Times New Roman" w:hAnsi="Times New Roman" w:eastAsia="宋体" w:cs="Times New Roman"/>
                <w:color w:val="000000" w:themeColor="text1"/>
                <w:sz w:val="21"/>
                <w:szCs w:val="21"/>
                <w:vertAlign w:val="baseline"/>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 xml:space="preserve">帐号：4000026809024904484 </w:t>
            </w:r>
          </w:p>
        </w:tc>
        <w:tc>
          <w:tcPr>
            <w:tcW w:w="4356" w:type="dxa"/>
            <w:tcBorders>
              <w:top w:val="nil"/>
              <w:left w:val="nil"/>
              <w:bottom w:val="nil"/>
              <w:right w:val="nil"/>
            </w:tcBorders>
            <w:noWrap w:val="0"/>
            <w:vAlign w:val="top"/>
          </w:tcPr>
          <w:p w14:paraId="5C71F327">
            <w:pPr>
              <w:ind w:firstLine="420" w:firstLineChars="200"/>
              <w:rPr>
                <w:rFonts w:hint="default" w:ascii="Times New Roman" w:hAnsi="Times New Roman" w:eastAsia="宋体" w:cs="Times New Roman"/>
                <w:color w:val="000000" w:themeColor="text1"/>
                <w:sz w:val="21"/>
                <w:szCs w:val="21"/>
                <w:vertAlign w:val="baseli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lang w:val="en-US" w:eastAsia="zh-CN"/>
                <w14:textFill>
                  <w14:solidFill>
                    <w14:schemeClr w14:val="tx1"/>
                  </w14:solidFill>
                </w14:textFill>
              </w:rPr>
              <w:t>银行</w:t>
            </w:r>
            <w:r>
              <w:rPr>
                <w:rFonts w:hint="default" w:ascii="Times New Roman" w:hAnsi="Times New Roman" w:eastAsia="宋体" w:cs="Times New Roman"/>
                <w:color w:val="000000" w:themeColor="text1"/>
                <w:sz w:val="21"/>
                <w:szCs w:val="21"/>
                <w14:textFill>
                  <w14:solidFill>
                    <w14:schemeClr w14:val="tx1"/>
                  </w14:solidFill>
                </w14:textFill>
              </w:rPr>
              <w:t>帐号：</w:t>
            </w:r>
          </w:p>
        </w:tc>
      </w:tr>
      <w:tr w14:paraId="471373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66" w:type="dxa"/>
            <w:tcBorders>
              <w:top w:val="nil"/>
              <w:left w:val="nil"/>
              <w:bottom w:val="nil"/>
              <w:right w:val="nil"/>
            </w:tcBorders>
            <w:noWrap w:val="0"/>
            <w:vAlign w:val="top"/>
          </w:tcPr>
          <w:p w14:paraId="4B2007BA">
            <w:pPr>
              <w:ind w:firstLine="420" w:firstLineChars="200"/>
              <w:rPr>
                <w:rFonts w:hint="default" w:ascii="Times New Roman" w:hAnsi="Times New Roman" w:eastAsia="宋体" w:cs="Times New Roman"/>
                <w:color w:val="000000" w:themeColor="text1"/>
                <w:sz w:val="21"/>
                <w:szCs w:val="21"/>
                <w14:textFill>
                  <w14:solidFill>
                    <w14:schemeClr w14:val="tx1"/>
                  </w14:solidFill>
                </w14:textFill>
              </w:rPr>
            </w:pPr>
          </w:p>
        </w:tc>
        <w:tc>
          <w:tcPr>
            <w:tcW w:w="4356" w:type="dxa"/>
            <w:tcBorders>
              <w:top w:val="nil"/>
              <w:left w:val="nil"/>
              <w:bottom w:val="nil"/>
              <w:right w:val="nil"/>
            </w:tcBorders>
            <w:noWrap w:val="0"/>
            <w:vAlign w:val="top"/>
          </w:tcPr>
          <w:p w14:paraId="43E899E1">
            <w:pPr>
              <w:ind w:firstLine="420" w:firstLineChars="200"/>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lang w:val="en-US" w:eastAsia="zh-CN"/>
                <w14:textFill>
                  <w14:solidFill>
                    <w14:schemeClr w14:val="tx1"/>
                  </w14:solidFill>
                </w14:textFill>
              </w:rPr>
              <w:t>开户号行号：</w:t>
            </w:r>
          </w:p>
        </w:tc>
      </w:tr>
      <w:tr w14:paraId="19C325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66" w:type="dxa"/>
            <w:tcBorders>
              <w:top w:val="nil"/>
              <w:left w:val="nil"/>
              <w:bottom w:val="nil"/>
              <w:right w:val="nil"/>
            </w:tcBorders>
            <w:noWrap w:val="0"/>
            <w:vAlign w:val="top"/>
          </w:tcPr>
          <w:p w14:paraId="582550C6">
            <w:pPr>
              <w:ind w:firstLine="420" w:firstLineChars="200"/>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lang w:val="en-US" w:eastAsia="zh-CN"/>
                <w14:textFill>
                  <w14:solidFill>
                    <w14:schemeClr w14:val="tx1"/>
                  </w14:solidFill>
                </w14:textFill>
              </w:rPr>
              <w:t>统一社会信用代码：</w:t>
            </w:r>
          </w:p>
          <w:p w14:paraId="65FEEAB7">
            <w:pPr>
              <w:ind w:firstLine="420" w:firstLineChars="200"/>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lang w:val="en-US" w:eastAsia="zh-CN"/>
                <w14:textFill>
                  <w14:solidFill>
                    <w14:schemeClr w14:val="tx1"/>
                  </w14:solidFill>
                </w14:textFill>
              </w:rPr>
              <w:t>12440300455769713X</w:t>
            </w:r>
          </w:p>
        </w:tc>
        <w:tc>
          <w:tcPr>
            <w:tcW w:w="4356" w:type="dxa"/>
            <w:tcBorders>
              <w:top w:val="nil"/>
              <w:left w:val="nil"/>
              <w:bottom w:val="nil"/>
              <w:right w:val="nil"/>
            </w:tcBorders>
            <w:noWrap w:val="0"/>
            <w:vAlign w:val="top"/>
          </w:tcPr>
          <w:p w14:paraId="107C65A0">
            <w:pPr>
              <w:ind w:firstLine="420" w:firstLineChars="200"/>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lang w:val="en-US" w:eastAsia="zh-CN"/>
                <w14:textFill>
                  <w14:solidFill>
                    <w14:schemeClr w14:val="tx1"/>
                  </w14:solidFill>
                </w14:textFill>
              </w:rPr>
              <w:t>统一社会信用代码：</w:t>
            </w:r>
          </w:p>
        </w:tc>
      </w:tr>
      <w:tr w14:paraId="2B02E0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66" w:type="dxa"/>
            <w:tcBorders>
              <w:top w:val="nil"/>
              <w:left w:val="nil"/>
              <w:bottom w:val="nil"/>
              <w:right w:val="nil"/>
            </w:tcBorders>
            <w:noWrap w:val="0"/>
            <w:vAlign w:val="top"/>
          </w:tcPr>
          <w:p w14:paraId="208F51EB">
            <w:pPr>
              <w:ind w:firstLine="420" w:firstLineChars="200"/>
              <w:rPr>
                <w:rFonts w:hint="default" w:ascii="Times New Roman" w:hAnsi="Times New Roman" w:eastAsia="宋体" w:cs="Times New Roman"/>
                <w:color w:val="000000" w:themeColor="text1"/>
                <w:sz w:val="21"/>
                <w:szCs w:val="21"/>
                <w:vertAlign w:val="baseline"/>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日期：</w:t>
            </w:r>
          </w:p>
        </w:tc>
        <w:tc>
          <w:tcPr>
            <w:tcW w:w="4356" w:type="dxa"/>
            <w:tcBorders>
              <w:top w:val="nil"/>
              <w:left w:val="nil"/>
              <w:bottom w:val="nil"/>
              <w:right w:val="nil"/>
            </w:tcBorders>
            <w:noWrap w:val="0"/>
            <w:vAlign w:val="top"/>
          </w:tcPr>
          <w:p w14:paraId="757AB9FA">
            <w:pPr>
              <w:ind w:firstLine="420" w:firstLineChars="200"/>
              <w:rPr>
                <w:rFonts w:hint="default" w:ascii="Times New Roman" w:hAnsi="Times New Roman" w:eastAsia="宋体" w:cs="Times New Roman"/>
                <w:color w:val="000000" w:themeColor="text1"/>
                <w:sz w:val="21"/>
                <w:szCs w:val="21"/>
                <w:vertAlign w:val="baseline"/>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日期：</w:t>
            </w:r>
          </w:p>
        </w:tc>
      </w:tr>
    </w:tbl>
    <w:p w14:paraId="79BC0D38">
      <w:pPr>
        <w:rPr>
          <w:rFonts w:hint="default" w:ascii="Times New Roman" w:hAnsi="Times New Roman" w:eastAsia="宋体" w:cs="Times New Roman"/>
          <w:b/>
          <w:bCs/>
          <w:sz w:val="44"/>
          <w:highlight w:val="none"/>
        </w:rPr>
      </w:pPr>
      <w:r>
        <w:rPr>
          <w:rFonts w:hint="default" w:ascii="Times New Roman" w:hAnsi="Times New Roman" w:eastAsia="宋体" w:cs="Times New Roman"/>
          <w:b/>
          <w:bCs/>
          <w:sz w:val="44"/>
          <w:highlight w:val="none"/>
        </w:rPr>
        <w:br w:type="page"/>
      </w:r>
    </w:p>
    <w:p w14:paraId="2DD67706">
      <w:pPr>
        <w:pStyle w:val="3"/>
        <w:pageBreakBefore w:val="0"/>
        <w:kinsoku/>
        <w:overflowPunct/>
        <w:topLinePunct w:val="0"/>
        <w:autoSpaceDE/>
        <w:autoSpaceDN/>
        <w:bidi w:val="0"/>
        <w:spacing w:before="0" w:beforeAutospacing="0" w:after="0" w:afterAutospacing="0" w:line="360" w:lineRule="auto"/>
        <w:ind w:left="0" w:leftChars="0" w:right="0" w:firstLine="0" w:firstLineChars="0"/>
        <w:rPr>
          <w:rFonts w:hint="default" w:ascii="Times New Roman" w:hAnsi="Times New Roman" w:eastAsia="宋体" w:cs="Times New Roman"/>
          <w:b/>
          <w:bCs/>
          <w:sz w:val="44"/>
          <w:highlight w:val="none"/>
        </w:rPr>
      </w:pPr>
      <w:r>
        <w:rPr>
          <w:rFonts w:hint="default" w:ascii="Times New Roman" w:hAnsi="Times New Roman" w:eastAsia="宋体" w:cs="Times New Roman"/>
          <w:b/>
          <w:bCs/>
          <w:sz w:val="44"/>
          <w:highlight w:val="none"/>
        </w:rPr>
        <w:t>第二册  通用条款</w:t>
      </w:r>
    </w:p>
    <w:bookmarkEnd w:id="80"/>
    <w:p w14:paraId="57177B19">
      <w:pPr>
        <w:rPr>
          <w:rFonts w:hint="default" w:ascii="Times New Roman" w:hAnsi="Times New Roman" w:eastAsia="宋体" w:cs="Times New Roman"/>
        </w:rPr>
      </w:pPr>
    </w:p>
    <w:p w14:paraId="72FCADDD">
      <w:pPr>
        <w:jc w:val="center"/>
        <w:outlineLvl w:val="0"/>
        <w:rPr>
          <w:rFonts w:hint="default" w:ascii="Times New Roman" w:hAnsi="Times New Roman" w:eastAsia="宋体" w:cs="Times New Roman"/>
          <w:b/>
          <w:bCs/>
          <w:sz w:val="32"/>
          <w:szCs w:val="32"/>
        </w:rPr>
      </w:pPr>
      <w:bookmarkStart w:id="88" w:name="bookmark89"/>
      <w:bookmarkEnd w:id="88"/>
      <w:bookmarkStart w:id="89" w:name="bookmark88"/>
      <w:bookmarkEnd w:id="89"/>
      <w:bookmarkStart w:id="90" w:name="bookmark87"/>
      <w:bookmarkEnd w:id="90"/>
      <w:r>
        <w:rPr>
          <w:rFonts w:hint="default" w:ascii="Times New Roman" w:hAnsi="Times New Roman" w:eastAsia="宋体" w:cs="Times New Roman"/>
          <w:b/>
          <w:bCs/>
          <w:sz w:val="32"/>
          <w:szCs w:val="32"/>
        </w:rPr>
        <w:t>第一章 总则</w:t>
      </w:r>
    </w:p>
    <w:p w14:paraId="2F592F59">
      <w:pPr>
        <w:outlineLvl w:val="1"/>
        <w:rPr>
          <w:rFonts w:hint="default" w:ascii="Times New Roman" w:hAnsi="Times New Roman" w:eastAsia="宋体" w:cs="Times New Roman"/>
        </w:rPr>
      </w:pPr>
      <w:r>
        <w:rPr>
          <w:rFonts w:hint="default" w:ascii="Times New Roman" w:hAnsi="Times New Roman" w:eastAsia="宋体" w:cs="Times New Roman"/>
        </w:rPr>
        <w:t>1.通用条款说明</w:t>
      </w:r>
    </w:p>
    <w:p w14:paraId="69D52D26">
      <w:pPr>
        <w:rPr>
          <w:rFonts w:hint="default" w:ascii="Times New Roman" w:hAnsi="Times New Roman" w:eastAsia="宋体" w:cs="Times New Roman"/>
        </w:rPr>
      </w:pPr>
      <w:r>
        <w:rPr>
          <w:rFonts w:hint="default" w:ascii="Times New Roman" w:hAnsi="Times New Roman" w:eastAsia="宋体" w:cs="Times New Roman"/>
        </w:rPr>
        <w:t>1.1 本采购文件分为第一册“专用条款 ”和第二册“通用条款 ”。</w:t>
      </w:r>
    </w:p>
    <w:p w14:paraId="32E852E7">
      <w:pPr>
        <w:rPr>
          <w:rFonts w:hint="default" w:ascii="Times New Roman" w:hAnsi="Times New Roman" w:eastAsia="宋体" w:cs="Times New Roman"/>
        </w:rPr>
      </w:pPr>
      <w:r>
        <w:rPr>
          <w:rFonts w:hint="default" w:ascii="Times New Roman" w:hAnsi="Times New Roman" w:eastAsia="宋体" w:cs="Times New Roman"/>
        </w:rPr>
        <w:t>1.2“专用条款 ”是对本次采购项目的具体要求，包含投标人资格要求、采购项目需求、 投标文件格式、附件等内容。</w:t>
      </w:r>
    </w:p>
    <w:p w14:paraId="7F3B7888">
      <w:pPr>
        <w:rPr>
          <w:rFonts w:hint="default" w:ascii="Times New Roman" w:hAnsi="Times New Roman" w:eastAsia="宋体" w:cs="Times New Roman"/>
        </w:rPr>
      </w:pPr>
      <w:r>
        <w:rPr>
          <w:rFonts w:hint="default" w:ascii="Times New Roman" w:hAnsi="Times New Roman" w:eastAsia="宋体" w:cs="Times New Roman"/>
        </w:rPr>
        <w:t>1.3“通用条款 ”是通用于政府采购项目的基础性条款，具有普遍性和通用性。</w:t>
      </w:r>
    </w:p>
    <w:p w14:paraId="1C6EDA74">
      <w:pPr>
        <w:rPr>
          <w:rFonts w:hint="default" w:ascii="Times New Roman" w:hAnsi="Times New Roman" w:eastAsia="宋体" w:cs="Times New Roman"/>
        </w:rPr>
      </w:pPr>
      <w:r>
        <w:rPr>
          <w:rFonts w:hint="default" w:ascii="Times New Roman" w:hAnsi="Times New Roman" w:eastAsia="宋体" w:cs="Times New Roman"/>
        </w:rPr>
        <w:t>1.4“专用条款 ”和“通用条款 ”表述不一致或有冲突时，以“专用条款 ”为准。</w:t>
      </w:r>
    </w:p>
    <w:p w14:paraId="7A77D5AE">
      <w:pPr>
        <w:outlineLvl w:val="1"/>
        <w:rPr>
          <w:rFonts w:hint="default" w:ascii="Times New Roman" w:hAnsi="Times New Roman" w:eastAsia="宋体" w:cs="Times New Roman"/>
        </w:rPr>
      </w:pPr>
      <w:r>
        <w:rPr>
          <w:rFonts w:hint="default" w:ascii="Times New Roman" w:hAnsi="Times New Roman" w:eastAsia="宋体" w:cs="Times New Roman"/>
        </w:rPr>
        <w:t>2.投标人责任</w:t>
      </w:r>
    </w:p>
    <w:p w14:paraId="4D79AD99">
      <w:pPr>
        <w:rPr>
          <w:rFonts w:hint="default" w:ascii="Times New Roman" w:hAnsi="Times New Roman" w:eastAsia="宋体" w:cs="Times New Roman"/>
        </w:rPr>
      </w:pPr>
      <w:r>
        <w:rPr>
          <w:rFonts w:hint="default" w:ascii="Times New Roman" w:hAnsi="Times New Roman" w:eastAsia="宋体" w:cs="Times New Roman"/>
          <w:lang w:val="en-US" w:eastAsia="zh-CN"/>
        </w:rPr>
        <w:t>2</w:t>
      </w:r>
      <w:r>
        <w:rPr>
          <w:rFonts w:hint="default" w:ascii="Times New Roman" w:hAnsi="Times New Roman" w:eastAsia="宋体" w:cs="Times New Roman"/>
        </w:rPr>
        <w:t>.1 欢迎诚信、有实力和有社会责任心的投标人参与</w:t>
      </w:r>
      <w:r>
        <w:rPr>
          <w:rFonts w:hint="eastAsia" w:cs="Times New Roman"/>
          <w:lang w:val="en-US" w:eastAsia="zh-CN"/>
        </w:rPr>
        <w:t>深圳市龙华区中心医院</w:t>
      </w:r>
      <w:r>
        <w:rPr>
          <w:rFonts w:hint="default" w:ascii="Times New Roman" w:hAnsi="Times New Roman" w:eastAsia="宋体" w:cs="Times New Roman"/>
        </w:rPr>
        <w:t>采购活动。</w:t>
      </w:r>
    </w:p>
    <w:p w14:paraId="1672CA68">
      <w:pPr>
        <w:rPr>
          <w:rFonts w:hint="default" w:ascii="Times New Roman" w:hAnsi="Times New Roman" w:eastAsia="宋体" w:cs="Times New Roman"/>
        </w:rPr>
      </w:pPr>
      <w:r>
        <w:rPr>
          <w:rFonts w:hint="default" w:ascii="Times New Roman" w:hAnsi="Times New Roman" w:eastAsia="宋体" w:cs="Times New Roman"/>
          <w:lang w:val="en-US" w:eastAsia="zh-CN"/>
        </w:rPr>
        <w:t>2</w:t>
      </w:r>
      <w:r>
        <w:rPr>
          <w:rFonts w:hint="default" w:ascii="Times New Roman" w:hAnsi="Times New Roman" w:eastAsia="宋体" w:cs="Times New Roman"/>
        </w:rPr>
        <w:t>.2 投标人应当遵循公平竞争的原则，不得恶意串通，不得妨碍其他投标投标人的竞争 行为，不得损害采购人或者其他投标人的合法权益。如违反上述要求，经核实后，投标人的 投标无效。</w:t>
      </w:r>
    </w:p>
    <w:p w14:paraId="761655E7">
      <w:pPr>
        <w:rPr>
          <w:rFonts w:hint="default" w:ascii="Times New Roman" w:hAnsi="Times New Roman" w:eastAsia="宋体" w:cs="Times New Roman"/>
        </w:rPr>
      </w:pPr>
      <w:r>
        <w:rPr>
          <w:rFonts w:hint="default" w:ascii="Times New Roman" w:hAnsi="Times New Roman" w:eastAsia="宋体" w:cs="Times New Roman"/>
          <w:lang w:val="en-US" w:eastAsia="zh-CN"/>
        </w:rPr>
        <w:t>2.3</w:t>
      </w:r>
      <w:r>
        <w:rPr>
          <w:rFonts w:hint="default" w:ascii="Times New Roman" w:hAnsi="Times New Roman" w:eastAsia="宋体" w:cs="Times New Roman"/>
        </w:rPr>
        <w:t>本项目按照</w:t>
      </w:r>
      <w:r>
        <w:rPr>
          <w:szCs w:val="21"/>
        </w:rPr>
        <w:t>《深圳经济特区政府采购条例》、《深圳经济特区政府采购条例实施细则》</w:t>
      </w:r>
      <w:r>
        <w:rPr>
          <w:rFonts w:hint="default" w:ascii="Times New Roman" w:hAnsi="Times New Roman" w:eastAsia="宋体" w:cs="Times New Roman"/>
          <w:lang w:val="en-US" w:eastAsia="zh-CN"/>
        </w:rPr>
        <w:t>规定</w:t>
      </w:r>
      <w:r>
        <w:rPr>
          <w:rFonts w:hint="default" w:ascii="Times New Roman" w:hAnsi="Times New Roman" w:eastAsia="宋体" w:cs="Times New Roman"/>
          <w:lang w:eastAsia="zh-CN"/>
        </w:rPr>
        <w:t>，</w:t>
      </w:r>
      <w:r>
        <w:rPr>
          <w:rFonts w:hint="default" w:ascii="Times New Roman" w:hAnsi="Times New Roman" w:eastAsia="宋体" w:cs="Times New Roman"/>
          <w:lang w:val="en-US" w:eastAsia="zh-CN"/>
        </w:rPr>
        <w:t>并参照</w:t>
      </w:r>
      <w:r>
        <w:rPr>
          <w:rFonts w:hint="default" w:ascii="Times New Roman" w:hAnsi="Times New Roman" w:eastAsia="宋体" w:cs="Times New Roman"/>
        </w:rPr>
        <w:t>政府采购</w:t>
      </w:r>
      <w:r>
        <w:rPr>
          <w:rFonts w:hint="default" w:ascii="Times New Roman" w:hAnsi="Times New Roman" w:eastAsia="宋体" w:cs="Times New Roman"/>
          <w:lang w:val="en-US" w:eastAsia="zh-CN"/>
        </w:rPr>
        <w:t>有关</w:t>
      </w:r>
      <w:r>
        <w:rPr>
          <w:rFonts w:hint="default" w:ascii="Times New Roman" w:hAnsi="Times New Roman" w:eastAsia="宋体" w:cs="Times New Roman"/>
        </w:rPr>
        <w:t>法律法规，通过公开招标方式确定中标供应商。</w:t>
      </w:r>
    </w:p>
    <w:p w14:paraId="68DCA68E">
      <w:pPr>
        <w:outlineLvl w:val="1"/>
        <w:rPr>
          <w:rFonts w:hint="default" w:ascii="Times New Roman" w:hAnsi="Times New Roman" w:eastAsia="宋体" w:cs="Times New Roman"/>
        </w:rPr>
      </w:pPr>
      <w:r>
        <w:rPr>
          <w:rFonts w:hint="default" w:ascii="Times New Roman" w:hAnsi="Times New Roman" w:eastAsia="宋体" w:cs="Times New Roman"/>
        </w:rPr>
        <w:t>3．投标人参加采购活动的条件</w:t>
      </w:r>
    </w:p>
    <w:p w14:paraId="0D7DA1B0">
      <w:pPr>
        <w:outlineLvl w:val="9"/>
        <w:rPr>
          <w:rFonts w:hint="default" w:ascii="Times New Roman" w:hAnsi="Times New Roman" w:eastAsia="宋体" w:cs="Times New Roman"/>
        </w:rPr>
      </w:pPr>
      <w:r>
        <w:rPr>
          <w:rFonts w:hint="default" w:ascii="Times New Roman" w:hAnsi="Times New Roman" w:eastAsia="宋体" w:cs="Times New Roman"/>
        </w:rPr>
        <w:t>3.1 投标人的资格要求</w:t>
      </w:r>
    </w:p>
    <w:p w14:paraId="6B80B41D">
      <w:pPr>
        <w:rPr>
          <w:rFonts w:hint="default" w:ascii="Times New Roman" w:hAnsi="Times New Roman" w:eastAsia="宋体" w:cs="Times New Roman"/>
        </w:rPr>
      </w:pPr>
      <w:r>
        <w:rPr>
          <w:rFonts w:hint="default" w:ascii="Times New Roman" w:hAnsi="Times New Roman" w:eastAsia="宋体" w:cs="Times New Roman"/>
        </w:rPr>
        <w:t>参加本项目的投标人应具备的资格条件详见本项目采购公告中 “对投标人资格要求 ” 的内容。</w:t>
      </w:r>
    </w:p>
    <w:p w14:paraId="03A4A380">
      <w:pPr>
        <w:rPr>
          <w:rFonts w:hint="default" w:ascii="Times New Roman" w:hAnsi="Times New Roman" w:eastAsia="宋体" w:cs="Times New Roman"/>
        </w:rPr>
      </w:pPr>
      <w:r>
        <w:rPr>
          <w:rFonts w:hint="default" w:ascii="Times New Roman" w:hAnsi="Times New Roman" w:eastAsia="宋体" w:cs="Times New Roman"/>
        </w:rPr>
        <w:t>4.本项目若涉及采购货物，则合格的货物及相应服务应满足以下要求：</w:t>
      </w:r>
    </w:p>
    <w:p w14:paraId="4D51B860">
      <w:pPr>
        <w:rPr>
          <w:rFonts w:hint="default" w:ascii="Times New Roman" w:hAnsi="Times New Roman" w:eastAsia="宋体" w:cs="Times New Roman"/>
        </w:rPr>
      </w:pPr>
      <w:r>
        <w:rPr>
          <w:rFonts w:hint="default" w:ascii="Times New Roman" w:hAnsi="Times New Roman" w:eastAsia="宋体" w:cs="Times New Roman"/>
        </w:rPr>
        <w:t>4.1  必须是全新、未使用过的原装合格正品（包括零部件），如安装或配置了软件的， 须为正版软件。</w:t>
      </w:r>
    </w:p>
    <w:p w14:paraId="34BDF880">
      <w:pPr>
        <w:rPr>
          <w:rFonts w:hint="default" w:ascii="Times New Roman" w:hAnsi="Times New Roman" w:eastAsia="宋体" w:cs="Times New Roman"/>
        </w:rPr>
      </w:pPr>
      <w:r>
        <w:rPr>
          <w:rFonts w:hint="default" w:ascii="Times New Roman" w:hAnsi="Times New Roman" w:eastAsia="宋体" w:cs="Times New Roman"/>
        </w:rPr>
        <w:t>4.2  国产的货物及其有关服务必须符合中华人民共和国的设计和制造生产标准或行业 标准。采购公告有其他要求的，亦应符合其要求。</w:t>
      </w:r>
    </w:p>
    <w:p w14:paraId="06C609D8">
      <w:pPr>
        <w:rPr>
          <w:rFonts w:hint="default" w:ascii="Times New Roman" w:hAnsi="Times New Roman" w:eastAsia="宋体" w:cs="Times New Roman"/>
        </w:rPr>
      </w:pPr>
      <w:r>
        <w:rPr>
          <w:rFonts w:hint="default" w:ascii="Times New Roman" w:hAnsi="Times New Roman" w:eastAsia="宋体" w:cs="Times New Roman"/>
        </w:rPr>
        <w:t>4.3  进口货物及其有关服务必须符合原产地和/或中华人民共和国的设计和制造生产 标准或行业标准。进口的货物必须具有合法的进口手续和途径，并通过中华人民共和国商检</w:t>
      </w:r>
    </w:p>
    <w:p w14:paraId="70A399A0">
      <w:pPr>
        <w:rPr>
          <w:rFonts w:hint="default" w:ascii="Times New Roman" w:hAnsi="Times New Roman" w:eastAsia="宋体" w:cs="Times New Roman"/>
        </w:rPr>
      </w:pPr>
      <w:r>
        <w:rPr>
          <w:rFonts w:hint="default" w:ascii="Times New Roman" w:hAnsi="Times New Roman" w:eastAsia="宋体" w:cs="Times New Roman"/>
        </w:rPr>
        <w:t>部门检验。采购公告有其他要求的，亦应符合其要求。</w:t>
      </w:r>
    </w:p>
    <w:p w14:paraId="3BE23FFE">
      <w:pPr>
        <w:outlineLvl w:val="9"/>
        <w:rPr>
          <w:rFonts w:hint="default" w:ascii="Times New Roman" w:hAnsi="Times New Roman" w:eastAsia="宋体" w:cs="Times New Roman"/>
        </w:rPr>
      </w:pPr>
      <w:r>
        <w:rPr>
          <w:rFonts w:hint="default" w:ascii="Times New Roman" w:hAnsi="Times New Roman" w:eastAsia="宋体" w:cs="Times New Roman"/>
        </w:rPr>
        <w:t>4.4  投标人应保证，其所提供的货物在提供给采购单位前具有完全的所有权，采购单</w:t>
      </w:r>
    </w:p>
    <w:p w14:paraId="24DD3CB4">
      <w:pPr>
        <w:rPr>
          <w:rFonts w:hint="default" w:ascii="Times New Roman" w:hAnsi="Times New Roman" w:eastAsia="宋体" w:cs="Times New Roman"/>
        </w:rPr>
      </w:pPr>
      <w:r>
        <w:rPr>
          <w:rFonts w:hint="default" w:ascii="Times New Roman" w:hAnsi="Times New Roman" w:eastAsia="宋体" w:cs="Times New Roman"/>
        </w:rPr>
        <w:t>位在中华人民共和国使用该货物或货物的任何一部分时，不会产生因第三方提出的包括但不 限于侵犯其专利权、商标权、工业设计权等知识产权和侵犯其所有权、抵押权等物权及其他 权利而引发的纠纷。如有纠纷，投标人应承担全部责任。</w:t>
      </w:r>
    </w:p>
    <w:p w14:paraId="15F2F410">
      <w:pPr>
        <w:rPr>
          <w:rFonts w:hint="default" w:ascii="Times New Roman" w:hAnsi="Times New Roman" w:eastAsia="宋体" w:cs="Times New Roman"/>
        </w:rPr>
      </w:pPr>
      <w:r>
        <w:rPr>
          <w:rFonts w:hint="default" w:ascii="Times New Roman" w:hAnsi="Times New Roman" w:eastAsia="宋体" w:cs="Times New Roman"/>
        </w:rPr>
        <w:t>4.5  投标人应保证，其所提供的货物应具有行政主管部门颁发的资质证书或国家质量 监督部门的产品《检验报告》。设备到货验收时，还必须提供设备的产品合格证、质量保证 文件。若中选后，除非另有约定，投标人必须按合同规定完成设备的安装，并达到验收标准。</w:t>
      </w:r>
    </w:p>
    <w:p w14:paraId="1BBCC158">
      <w:pPr>
        <w:rPr>
          <w:rFonts w:hint="default" w:ascii="Times New Roman" w:hAnsi="Times New Roman" w:eastAsia="宋体" w:cs="Times New Roman"/>
        </w:rPr>
      </w:pPr>
      <w:r>
        <w:rPr>
          <w:rFonts w:hint="default" w:ascii="Times New Roman" w:hAnsi="Times New Roman" w:eastAsia="宋体" w:cs="Times New Roman"/>
        </w:rPr>
        <w:t>4.6  对工期的要求：投标人在投标时对其所投项目应提交详细的《交货进度表》，列 明交货计划等，在合同规定的时间内完工验收。</w:t>
      </w:r>
    </w:p>
    <w:p w14:paraId="69FE72CD">
      <w:pPr>
        <w:rPr>
          <w:rFonts w:hint="default" w:ascii="Times New Roman" w:hAnsi="Times New Roman" w:eastAsia="宋体" w:cs="Times New Roman"/>
        </w:rPr>
      </w:pPr>
      <w:r>
        <w:rPr>
          <w:rFonts w:hint="default" w:ascii="Times New Roman" w:hAnsi="Times New Roman" w:eastAsia="宋体" w:cs="Times New Roman"/>
        </w:rPr>
        <w:t>4.7  投标人必须承担的设备运输、安装调试、验收检测和提供设备操作说明书、图纸 等其他相关及类似的义务。</w:t>
      </w:r>
    </w:p>
    <w:p w14:paraId="439208C5">
      <w:pPr>
        <w:outlineLvl w:val="1"/>
        <w:rPr>
          <w:rFonts w:hint="default" w:ascii="Times New Roman" w:hAnsi="Times New Roman" w:eastAsia="宋体" w:cs="Times New Roman"/>
        </w:rPr>
      </w:pPr>
      <w:r>
        <w:rPr>
          <w:rFonts w:hint="default" w:ascii="Times New Roman" w:hAnsi="Times New Roman" w:eastAsia="宋体" w:cs="Times New Roman"/>
        </w:rPr>
        <w:t>5．投标费用</w:t>
      </w:r>
    </w:p>
    <w:p w14:paraId="25DD8434">
      <w:pPr>
        <w:rPr>
          <w:rFonts w:hint="default" w:ascii="Times New Roman" w:hAnsi="Times New Roman" w:eastAsia="宋体" w:cs="Times New Roman"/>
        </w:rPr>
      </w:pPr>
      <w:r>
        <w:rPr>
          <w:rFonts w:hint="default" w:ascii="Times New Roman" w:hAnsi="Times New Roman" w:eastAsia="宋体" w:cs="Times New Roman"/>
        </w:rPr>
        <w:t>不论投标结果如何，投标人应承担其编制投标文件与递交投标文件所涉及的一切费用。</w:t>
      </w:r>
    </w:p>
    <w:p w14:paraId="726A193F">
      <w:pPr>
        <w:outlineLvl w:val="1"/>
        <w:rPr>
          <w:rFonts w:hint="default" w:ascii="Times New Roman" w:hAnsi="Times New Roman" w:eastAsia="宋体" w:cs="Times New Roman"/>
        </w:rPr>
      </w:pPr>
      <w:r>
        <w:rPr>
          <w:rFonts w:hint="default" w:ascii="Times New Roman" w:hAnsi="Times New Roman" w:eastAsia="宋体" w:cs="Times New Roman"/>
        </w:rPr>
        <w:t>6．踏勘现场</w:t>
      </w:r>
    </w:p>
    <w:p w14:paraId="76761719">
      <w:pPr>
        <w:rPr>
          <w:rFonts w:hint="default" w:ascii="Times New Roman" w:hAnsi="Times New Roman" w:eastAsia="宋体" w:cs="Times New Roman"/>
        </w:rPr>
      </w:pPr>
      <w:r>
        <w:rPr>
          <w:rFonts w:hint="eastAsia" w:cs="Times New Roman"/>
          <w:lang w:val="en-US" w:eastAsia="zh-CN"/>
        </w:rPr>
        <w:t>6</w:t>
      </w:r>
      <w:r>
        <w:rPr>
          <w:rFonts w:hint="default" w:ascii="Times New Roman" w:hAnsi="Times New Roman" w:eastAsia="宋体" w:cs="Times New Roman"/>
        </w:rPr>
        <w:t>.1 如有需要（详见专用条款），采购人将组织投标人对项目现场及周围环境进行踏勘， 以便投标人获取有关编制投标文件和签署合同所需的资料。踏勘现场所发生的费用由投标人 自行承担。投标人应按采购公告所约定的时间、地点踏勘现场。</w:t>
      </w:r>
    </w:p>
    <w:p w14:paraId="6AA71CFA">
      <w:pPr>
        <w:rPr>
          <w:rFonts w:hint="default" w:ascii="Times New Roman" w:hAnsi="Times New Roman" w:eastAsia="宋体" w:cs="Times New Roman"/>
        </w:rPr>
      </w:pPr>
      <w:r>
        <w:rPr>
          <w:rFonts w:hint="eastAsia" w:cs="Times New Roman"/>
          <w:lang w:val="en-US" w:eastAsia="zh-CN"/>
        </w:rPr>
        <w:t>6</w:t>
      </w:r>
      <w:r>
        <w:rPr>
          <w:rFonts w:hint="default" w:ascii="Times New Roman" w:hAnsi="Times New Roman" w:eastAsia="宋体" w:cs="Times New Roman"/>
        </w:rPr>
        <w:t>.2 投标人及其人员经过采购人的允许，可以踏勘目的进入采购人的项目现场。若采购 文件要求投标人于统一时间地点踏勘现场的，投标人应当按时前往。</w:t>
      </w:r>
    </w:p>
    <w:p w14:paraId="347E2917">
      <w:pPr>
        <w:rPr>
          <w:rFonts w:hint="default" w:ascii="Times New Roman" w:hAnsi="Times New Roman" w:eastAsia="宋体" w:cs="Times New Roman"/>
        </w:rPr>
      </w:pPr>
      <w:r>
        <w:rPr>
          <w:rFonts w:hint="eastAsia" w:cs="Times New Roman"/>
          <w:lang w:val="en-US" w:eastAsia="zh-CN"/>
        </w:rPr>
        <w:t>6</w:t>
      </w:r>
      <w:r>
        <w:rPr>
          <w:rFonts w:hint="default" w:ascii="Times New Roman" w:hAnsi="Times New Roman" w:eastAsia="宋体" w:cs="Times New Roman"/>
        </w:rPr>
        <w:t>.3 采购人必须通过</w:t>
      </w:r>
      <w:r>
        <w:rPr>
          <w:rFonts w:hint="eastAsia" w:cs="Times New Roman"/>
          <w:lang w:eastAsia="zh-CN"/>
        </w:rPr>
        <w:t xml:space="preserve"> 深圳信德招标服务有限公司</w:t>
      </w:r>
      <w:r>
        <w:rPr>
          <w:rFonts w:hint="default" w:ascii="Times New Roman" w:hAnsi="Times New Roman" w:eastAsia="宋体" w:cs="Times New Roman"/>
        </w:rPr>
        <w:t>向投标人提供有关现场的资料和数据。</w:t>
      </w:r>
    </w:p>
    <w:p w14:paraId="44E94FDF">
      <w:pPr>
        <w:rPr>
          <w:rFonts w:hint="default" w:ascii="Times New Roman" w:hAnsi="Times New Roman" w:eastAsia="宋体" w:cs="Times New Roman"/>
        </w:rPr>
      </w:pPr>
      <w:r>
        <w:rPr>
          <w:rFonts w:hint="eastAsia" w:cs="Times New Roman"/>
          <w:lang w:val="en-US" w:eastAsia="zh-CN"/>
        </w:rPr>
        <w:t>6</w:t>
      </w:r>
      <w:r>
        <w:rPr>
          <w:rFonts w:hint="default" w:ascii="Times New Roman" w:hAnsi="Times New Roman" w:eastAsia="宋体" w:cs="Times New Roman"/>
        </w:rPr>
        <w:t>.4 任何人或任何组织在踏勘现场时向投标人提交的任何书面资料或口头承诺，未经</w:t>
      </w:r>
      <w:r>
        <w:rPr>
          <w:rFonts w:hint="eastAsia" w:cs="Times New Roman"/>
          <w:lang w:eastAsia="zh-CN"/>
        </w:rPr>
        <w:t xml:space="preserve"> 深圳信德招标服务有限公司</w:t>
      </w:r>
      <w:r>
        <w:rPr>
          <w:rFonts w:hint="default" w:ascii="Times New Roman" w:hAnsi="Times New Roman" w:eastAsia="宋体" w:cs="Times New Roman"/>
        </w:rPr>
        <w:t>在网上发布或书面通知，均作无效处理。</w:t>
      </w:r>
      <w:r>
        <w:rPr>
          <w:rFonts w:hint="eastAsia" w:cs="Times New Roman"/>
          <w:lang w:eastAsia="zh-CN"/>
        </w:rPr>
        <w:t xml:space="preserve"> 深圳信德招标服务有限公司</w:t>
      </w:r>
      <w:r>
        <w:rPr>
          <w:rFonts w:hint="default" w:ascii="Times New Roman" w:hAnsi="Times New Roman" w:eastAsia="宋体" w:cs="Times New Roman"/>
        </w:rPr>
        <w:t xml:space="preserve"> 对投标人由此而做出的推论、理解和结论概不负责。</w:t>
      </w:r>
    </w:p>
    <w:p w14:paraId="7537C7CA">
      <w:pPr>
        <w:outlineLvl w:val="9"/>
        <w:rPr>
          <w:rFonts w:hint="default" w:ascii="Times New Roman" w:hAnsi="Times New Roman" w:eastAsia="宋体" w:cs="Times New Roman"/>
        </w:rPr>
      </w:pPr>
      <w:r>
        <w:rPr>
          <w:rFonts w:hint="eastAsia" w:cs="Times New Roman"/>
          <w:lang w:val="en-US" w:eastAsia="zh-CN"/>
        </w:rPr>
        <w:t>6</w:t>
      </w:r>
      <w:r>
        <w:rPr>
          <w:rFonts w:hint="default" w:ascii="Times New Roman" w:hAnsi="Times New Roman" w:eastAsia="宋体" w:cs="Times New Roman"/>
        </w:rPr>
        <w:t>.5 未参与现场踏勘不作为否定投标人资格的理由。</w:t>
      </w:r>
    </w:p>
    <w:p w14:paraId="3F269566">
      <w:pPr>
        <w:outlineLvl w:val="1"/>
        <w:rPr>
          <w:rFonts w:hint="default" w:ascii="Times New Roman" w:hAnsi="Times New Roman" w:eastAsia="宋体" w:cs="Times New Roman"/>
        </w:rPr>
      </w:pPr>
      <w:r>
        <w:rPr>
          <w:rFonts w:hint="eastAsia" w:cs="Times New Roman"/>
          <w:lang w:val="en-US" w:eastAsia="zh-CN"/>
        </w:rPr>
        <w:t>7</w:t>
      </w:r>
      <w:r>
        <w:rPr>
          <w:rFonts w:hint="default" w:ascii="Times New Roman" w:hAnsi="Times New Roman" w:eastAsia="宋体" w:cs="Times New Roman"/>
        </w:rPr>
        <w:t>．采购答疑</w:t>
      </w:r>
    </w:p>
    <w:p w14:paraId="2BE53482">
      <w:pPr>
        <w:rPr>
          <w:rFonts w:hint="default" w:ascii="Times New Roman" w:hAnsi="Times New Roman" w:eastAsia="宋体" w:cs="Times New Roman"/>
        </w:rPr>
      </w:pPr>
      <w:r>
        <w:rPr>
          <w:rFonts w:hint="eastAsia" w:cs="Times New Roman"/>
          <w:lang w:val="en-US" w:eastAsia="zh-CN"/>
        </w:rPr>
        <w:t>7</w:t>
      </w:r>
      <w:r>
        <w:rPr>
          <w:rFonts w:hint="default" w:ascii="Times New Roman" w:hAnsi="Times New Roman" w:eastAsia="宋体" w:cs="Times New Roman"/>
        </w:rPr>
        <w:t>.1 采购答疑的目的是澄清、解答投标人在查阅采购文件后或现场踏勘中可能提出的与 投标有关的疑问或询问。</w:t>
      </w:r>
    </w:p>
    <w:p w14:paraId="154DC4FD">
      <w:pPr>
        <w:rPr>
          <w:rFonts w:hint="default" w:ascii="Times New Roman" w:hAnsi="Times New Roman" w:eastAsia="宋体" w:cs="Times New Roman"/>
        </w:rPr>
      </w:pPr>
      <w:r>
        <w:rPr>
          <w:rFonts w:hint="eastAsia" w:cs="Times New Roman"/>
          <w:lang w:val="en-US" w:eastAsia="zh-CN"/>
        </w:rPr>
        <w:t>7</w:t>
      </w:r>
      <w:r>
        <w:rPr>
          <w:rFonts w:hint="default" w:ascii="Times New Roman" w:hAnsi="Times New Roman" w:eastAsia="宋体" w:cs="Times New Roman"/>
        </w:rPr>
        <w:t>.2 投标人如对采购文件内容有疑问，必须在采购文件规定的答疑截止时间前提交给</w:t>
      </w:r>
      <w:r>
        <w:rPr>
          <w:rFonts w:hint="eastAsia" w:cs="Times New Roman"/>
          <w:lang w:eastAsia="zh-CN"/>
        </w:rPr>
        <w:t xml:space="preserve"> 深圳信德招标服务有限公司</w:t>
      </w:r>
      <w:r>
        <w:rPr>
          <w:rFonts w:hint="default" w:ascii="Times New Roman" w:hAnsi="Times New Roman" w:eastAsia="宋体" w:cs="Times New Roman"/>
        </w:rPr>
        <w:t>。</w:t>
      </w:r>
    </w:p>
    <w:p w14:paraId="7EFB8C09">
      <w:pPr>
        <w:rPr>
          <w:rFonts w:hint="default" w:ascii="Times New Roman" w:hAnsi="Times New Roman" w:eastAsia="宋体" w:cs="Times New Roman"/>
        </w:rPr>
      </w:pPr>
      <w:r>
        <w:rPr>
          <w:rFonts w:hint="eastAsia" w:cs="Times New Roman"/>
          <w:lang w:val="en-US" w:eastAsia="zh-CN"/>
        </w:rPr>
        <w:t>7</w:t>
      </w:r>
      <w:r>
        <w:rPr>
          <w:rFonts w:hint="default" w:ascii="Times New Roman" w:hAnsi="Times New Roman" w:eastAsia="宋体" w:cs="Times New Roman"/>
        </w:rPr>
        <w:t>.3 如</w:t>
      </w:r>
      <w:r>
        <w:rPr>
          <w:rFonts w:hint="eastAsia" w:cs="Times New Roman"/>
          <w:lang w:eastAsia="zh-CN"/>
        </w:rPr>
        <w:t xml:space="preserve"> 深圳信德招标服务有限公司</w:t>
      </w:r>
      <w:r>
        <w:rPr>
          <w:rFonts w:hint="default" w:ascii="Times New Roman" w:hAnsi="Times New Roman" w:eastAsia="宋体" w:cs="Times New Roman"/>
        </w:rPr>
        <w:t>认为有必要组织现场答疑会，投标人应按照文件规定的 时间或书面通知（包括网站发布的通知）的时间和地点，参与现场答疑会。</w:t>
      </w:r>
    </w:p>
    <w:p w14:paraId="1AFF157F">
      <w:pPr>
        <w:outlineLvl w:val="9"/>
        <w:rPr>
          <w:rFonts w:hint="default" w:ascii="Times New Roman" w:hAnsi="Times New Roman" w:eastAsia="宋体" w:cs="Times New Roman"/>
        </w:rPr>
      </w:pPr>
      <w:r>
        <w:rPr>
          <w:rFonts w:hint="eastAsia" w:cs="Times New Roman"/>
          <w:lang w:val="en-US" w:eastAsia="zh-CN"/>
        </w:rPr>
        <w:t>7</w:t>
      </w:r>
      <w:r>
        <w:rPr>
          <w:rFonts w:hint="default" w:ascii="Times New Roman" w:hAnsi="Times New Roman" w:eastAsia="宋体" w:cs="Times New Roman"/>
        </w:rPr>
        <w:t>.4 未参与采购答疑不作为否定投标人资格的理由。</w:t>
      </w:r>
    </w:p>
    <w:p w14:paraId="1954B271">
      <w:pPr>
        <w:rPr>
          <w:rFonts w:hint="default" w:ascii="Times New Roman" w:hAnsi="Times New Roman" w:eastAsia="宋体" w:cs="Times New Roman"/>
        </w:rPr>
      </w:pPr>
    </w:p>
    <w:p w14:paraId="5B3FFFAC">
      <w:pPr>
        <w:jc w:val="center"/>
        <w:outlineLvl w:val="0"/>
        <w:rPr>
          <w:rFonts w:hint="default" w:ascii="Times New Roman" w:hAnsi="Times New Roman" w:eastAsia="宋体" w:cs="Times New Roman"/>
          <w:b/>
          <w:bCs/>
          <w:sz w:val="32"/>
          <w:szCs w:val="32"/>
        </w:rPr>
      </w:pPr>
      <w:bookmarkStart w:id="91" w:name="bookmark90"/>
      <w:bookmarkEnd w:id="91"/>
      <w:bookmarkStart w:id="92" w:name="bookmark91"/>
      <w:bookmarkEnd w:id="92"/>
      <w:r>
        <w:rPr>
          <w:rFonts w:hint="default" w:ascii="Times New Roman" w:hAnsi="Times New Roman" w:eastAsia="宋体" w:cs="Times New Roman"/>
          <w:b/>
          <w:bCs/>
          <w:sz w:val="32"/>
          <w:szCs w:val="32"/>
        </w:rPr>
        <w:t>第二章 采购文件</w:t>
      </w:r>
    </w:p>
    <w:p w14:paraId="73F1240A">
      <w:pPr>
        <w:outlineLvl w:val="1"/>
        <w:rPr>
          <w:rFonts w:hint="default" w:ascii="Times New Roman" w:hAnsi="Times New Roman" w:eastAsia="宋体" w:cs="Times New Roman"/>
        </w:rPr>
      </w:pPr>
      <w:r>
        <w:rPr>
          <w:rFonts w:hint="eastAsia" w:cs="Times New Roman"/>
          <w:lang w:val="en-US" w:eastAsia="zh-CN"/>
        </w:rPr>
        <w:t>8</w:t>
      </w:r>
      <w:r>
        <w:rPr>
          <w:rFonts w:hint="default" w:ascii="Times New Roman" w:hAnsi="Times New Roman" w:eastAsia="宋体" w:cs="Times New Roman"/>
        </w:rPr>
        <w:t>．采购文件的编制与组成</w:t>
      </w:r>
    </w:p>
    <w:p w14:paraId="3E25A87C">
      <w:pPr>
        <w:rPr>
          <w:rFonts w:hint="default" w:ascii="Times New Roman" w:hAnsi="Times New Roman" w:eastAsia="宋体" w:cs="Times New Roman"/>
        </w:rPr>
      </w:pPr>
      <w:r>
        <w:rPr>
          <w:rFonts w:hint="eastAsia" w:cs="Times New Roman"/>
          <w:lang w:val="en-US" w:eastAsia="zh-CN"/>
        </w:rPr>
        <w:t>8</w:t>
      </w:r>
      <w:r>
        <w:rPr>
          <w:rFonts w:hint="default" w:ascii="Times New Roman" w:hAnsi="Times New Roman" w:eastAsia="宋体" w:cs="Times New Roman"/>
        </w:rPr>
        <w:t>.1 采购文件除以下内容外，</w:t>
      </w:r>
      <w:r>
        <w:rPr>
          <w:rFonts w:hint="eastAsia" w:cs="Times New Roman"/>
          <w:lang w:eastAsia="zh-CN"/>
        </w:rPr>
        <w:t xml:space="preserve"> 深圳信德招标服务有限公司</w:t>
      </w:r>
      <w:r>
        <w:rPr>
          <w:rFonts w:hint="default" w:ascii="Times New Roman" w:hAnsi="Times New Roman" w:eastAsia="宋体" w:cs="Times New Roman"/>
        </w:rPr>
        <w:t>在采购（或谈判）期间发出的答 疑公告或其他补充修改函件，均是采购文件的组成部分，对投标人起约束作用；</w:t>
      </w:r>
    </w:p>
    <w:p w14:paraId="3111AA12">
      <w:pPr>
        <w:rPr>
          <w:rFonts w:hint="default" w:ascii="Times New Roman" w:hAnsi="Times New Roman" w:eastAsia="宋体" w:cs="Times New Roman"/>
        </w:rPr>
      </w:pPr>
      <w:r>
        <w:rPr>
          <w:rFonts w:hint="default" w:ascii="Times New Roman" w:hAnsi="Times New Roman" w:eastAsia="宋体" w:cs="Times New Roman"/>
        </w:rPr>
        <w:t>采购文件包括下列内容：</w:t>
      </w:r>
    </w:p>
    <w:p w14:paraId="79F61D76">
      <w:pPr>
        <w:rPr>
          <w:rFonts w:hint="default" w:ascii="Times New Roman" w:hAnsi="Times New Roman" w:eastAsia="宋体" w:cs="Times New Roman"/>
        </w:rPr>
      </w:pPr>
      <w:r>
        <w:rPr>
          <w:rFonts w:hint="default" w:ascii="Times New Roman" w:hAnsi="Times New Roman" w:eastAsia="宋体" w:cs="Times New Roman"/>
        </w:rPr>
        <w:t>第一册  专用条款 关键信息</w:t>
      </w:r>
    </w:p>
    <w:p w14:paraId="274CDF7F">
      <w:pPr>
        <w:rPr>
          <w:rFonts w:hint="default" w:ascii="Times New Roman" w:hAnsi="Times New Roman" w:eastAsia="宋体" w:cs="Times New Roman"/>
        </w:rPr>
      </w:pPr>
      <w:r>
        <w:rPr>
          <w:rFonts w:hint="default" w:ascii="Times New Roman" w:hAnsi="Times New Roman" w:eastAsia="宋体" w:cs="Times New Roman"/>
        </w:rPr>
        <w:t>第一章  采购公告</w:t>
      </w:r>
    </w:p>
    <w:p w14:paraId="30D87353">
      <w:pPr>
        <w:outlineLvl w:val="2"/>
        <w:rPr>
          <w:rFonts w:hint="default" w:ascii="Times New Roman" w:hAnsi="Times New Roman" w:eastAsia="宋体" w:cs="Times New Roman"/>
        </w:rPr>
      </w:pPr>
      <w:r>
        <w:rPr>
          <w:rFonts w:hint="default" w:ascii="Times New Roman" w:hAnsi="Times New Roman" w:eastAsia="宋体" w:cs="Times New Roman"/>
        </w:rPr>
        <w:t xml:space="preserve">第二章  </w:t>
      </w:r>
      <w:r>
        <w:rPr>
          <w:rFonts w:hint="default" w:ascii="Times New Roman" w:hAnsi="Times New Roman" w:eastAsia="宋体" w:cs="Times New Roman"/>
          <w:szCs w:val="24"/>
          <w:highlight w:val="none"/>
        </w:rPr>
        <w:t>对通用条款的补充内容</w:t>
      </w:r>
    </w:p>
    <w:p w14:paraId="3FB44CFD">
      <w:pPr>
        <w:rPr>
          <w:rFonts w:hint="eastAsia" w:ascii="Times New Roman" w:hAnsi="Times New Roman" w:eastAsia="宋体" w:cs="Times New Roman"/>
          <w:lang w:val="en-US" w:eastAsia="zh-CN"/>
        </w:rPr>
      </w:pPr>
      <w:r>
        <w:rPr>
          <w:rFonts w:hint="default" w:ascii="Times New Roman" w:hAnsi="Times New Roman" w:eastAsia="宋体" w:cs="Times New Roman"/>
        </w:rPr>
        <w:t>第三章  项目需求</w:t>
      </w:r>
      <w:r>
        <w:rPr>
          <w:rFonts w:hint="eastAsia" w:cs="Times New Roman"/>
          <w:lang w:val="en-US" w:eastAsia="zh-CN"/>
        </w:rPr>
        <w:t>书</w:t>
      </w:r>
    </w:p>
    <w:p w14:paraId="0AC5594E">
      <w:pPr>
        <w:outlineLvl w:val="2"/>
        <w:rPr>
          <w:rFonts w:hint="eastAsia" w:cs="Times New Roman"/>
          <w:lang w:val="en-US" w:eastAsia="zh-CN"/>
        </w:rPr>
      </w:pPr>
      <w:r>
        <w:rPr>
          <w:rFonts w:hint="eastAsia" w:cs="Times New Roman"/>
          <w:lang w:val="en-US" w:eastAsia="zh-CN"/>
        </w:rPr>
        <w:t>第四章  投标须知前附表</w:t>
      </w:r>
    </w:p>
    <w:p w14:paraId="5B8ED29E">
      <w:pPr>
        <w:pStyle w:val="4"/>
        <w:pageBreakBefore w:val="0"/>
        <w:kinsoku/>
        <w:overflowPunct/>
        <w:topLinePunct w:val="0"/>
        <w:autoSpaceDE/>
        <w:autoSpaceDN/>
        <w:bidi w:val="0"/>
        <w:spacing w:beforeAutospacing="0" w:afterAutospacing="0" w:line="360" w:lineRule="auto"/>
        <w:ind w:left="0" w:leftChars="0" w:right="0" w:firstLine="0" w:firstLineChars="0"/>
        <w:jc w:val="both"/>
        <w:rPr>
          <w:rFonts w:hint="default" w:cs="Times New Roman"/>
          <w:lang w:val="en-US" w:eastAsia="zh-CN"/>
        </w:rPr>
      </w:pPr>
      <w:r>
        <w:rPr>
          <w:rFonts w:hint="eastAsia" w:cs="Times New Roman"/>
          <w:kern w:val="2"/>
          <w:sz w:val="21"/>
          <w:szCs w:val="24"/>
          <w:lang w:val="en-US" w:eastAsia="zh-CN"/>
        </w:rPr>
        <w:t>第</w:t>
      </w:r>
      <w:r>
        <w:rPr>
          <w:rFonts w:hint="eastAsia" w:ascii="Times New Roman" w:hAnsi="Times New Roman" w:eastAsia="宋体" w:cs="Times New Roman"/>
          <w:kern w:val="2"/>
          <w:sz w:val="21"/>
          <w:szCs w:val="24"/>
          <w:lang w:val="en-US" w:eastAsia="zh-CN" w:bidi="ar-SA"/>
        </w:rPr>
        <w:t xml:space="preserve">五章  </w:t>
      </w:r>
      <w:r>
        <w:rPr>
          <w:rFonts w:hint="default" w:ascii="Times New Roman" w:hAnsi="Times New Roman" w:eastAsia="宋体" w:cs="Times New Roman"/>
          <w:kern w:val="2"/>
          <w:sz w:val="21"/>
          <w:szCs w:val="24"/>
          <w:lang w:val="en-US" w:eastAsia="zh-CN" w:bidi="ar-SA"/>
        </w:rPr>
        <w:t>投标文件组成要求及格式</w:t>
      </w:r>
    </w:p>
    <w:p w14:paraId="4A5C5527">
      <w:pPr>
        <w:outlineLvl w:val="2"/>
        <w:rPr>
          <w:rFonts w:hint="default" w:ascii="Times New Roman" w:hAnsi="Times New Roman" w:eastAsia="宋体" w:cs="Times New Roman"/>
        </w:rPr>
      </w:pPr>
      <w:r>
        <w:rPr>
          <w:rFonts w:hint="default" w:ascii="Times New Roman" w:hAnsi="Times New Roman" w:eastAsia="宋体" w:cs="Times New Roman"/>
        </w:rPr>
        <w:t>第二册  通用条款</w:t>
      </w:r>
    </w:p>
    <w:p w14:paraId="1F112A75">
      <w:pPr>
        <w:rPr>
          <w:rFonts w:hint="default" w:ascii="Times New Roman" w:hAnsi="Times New Roman" w:eastAsia="宋体" w:cs="Times New Roman"/>
        </w:rPr>
      </w:pPr>
      <w:r>
        <w:rPr>
          <w:rFonts w:hint="default" w:ascii="Times New Roman" w:hAnsi="Times New Roman" w:eastAsia="宋体" w:cs="Times New Roman"/>
        </w:rPr>
        <w:t>第一章  总则</w:t>
      </w:r>
    </w:p>
    <w:p w14:paraId="28D8C92C">
      <w:pPr>
        <w:rPr>
          <w:rFonts w:hint="default" w:ascii="Times New Roman" w:hAnsi="Times New Roman" w:eastAsia="宋体" w:cs="Times New Roman"/>
        </w:rPr>
      </w:pPr>
      <w:r>
        <w:rPr>
          <w:rFonts w:hint="default" w:ascii="Times New Roman" w:hAnsi="Times New Roman" w:eastAsia="宋体" w:cs="Times New Roman"/>
        </w:rPr>
        <w:t>第二章  采购文件</w:t>
      </w:r>
    </w:p>
    <w:p w14:paraId="1B0F5B0B">
      <w:pPr>
        <w:rPr>
          <w:rFonts w:hint="default" w:ascii="Times New Roman" w:hAnsi="Times New Roman" w:eastAsia="宋体" w:cs="Times New Roman"/>
        </w:rPr>
      </w:pPr>
      <w:r>
        <w:rPr>
          <w:rFonts w:hint="default" w:ascii="Times New Roman" w:hAnsi="Times New Roman" w:eastAsia="宋体" w:cs="Times New Roman"/>
        </w:rPr>
        <w:t>第三章  投标文件的编制</w:t>
      </w:r>
    </w:p>
    <w:p w14:paraId="3883C8A8">
      <w:pPr>
        <w:rPr>
          <w:rFonts w:hint="default" w:ascii="Times New Roman" w:hAnsi="Times New Roman" w:eastAsia="宋体" w:cs="Times New Roman"/>
        </w:rPr>
      </w:pPr>
      <w:r>
        <w:rPr>
          <w:rFonts w:hint="default" w:ascii="Times New Roman" w:hAnsi="Times New Roman" w:eastAsia="宋体" w:cs="Times New Roman"/>
        </w:rPr>
        <w:t>第四章  投标文件的递交</w:t>
      </w:r>
    </w:p>
    <w:p w14:paraId="12AC1A54">
      <w:pPr>
        <w:rPr>
          <w:rFonts w:hint="default" w:ascii="Times New Roman" w:hAnsi="Times New Roman" w:eastAsia="宋体" w:cs="Times New Roman"/>
        </w:rPr>
      </w:pPr>
      <w:r>
        <w:rPr>
          <w:rFonts w:hint="default" w:ascii="Times New Roman" w:hAnsi="Times New Roman" w:eastAsia="宋体" w:cs="Times New Roman"/>
        </w:rPr>
        <w:t>第五章  开标</w:t>
      </w:r>
    </w:p>
    <w:p w14:paraId="02E923B0">
      <w:pPr>
        <w:rPr>
          <w:rFonts w:hint="default" w:ascii="Times New Roman" w:hAnsi="Times New Roman" w:eastAsia="宋体" w:cs="Times New Roman"/>
        </w:rPr>
      </w:pPr>
      <w:r>
        <w:rPr>
          <w:rFonts w:hint="default" w:ascii="Times New Roman" w:hAnsi="Times New Roman" w:eastAsia="宋体" w:cs="Times New Roman"/>
        </w:rPr>
        <w:t>第六章  评审要求</w:t>
      </w:r>
    </w:p>
    <w:p w14:paraId="5024E977">
      <w:pPr>
        <w:rPr>
          <w:rFonts w:hint="default" w:ascii="Times New Roman" w:hAnsi="Times New Roman" w:eastAsia="宋体" w:cs="Times New Roman"/>
        </w:rPr>
      </w:pPr>
      <w:r>
        <w:rPr>
          <w:rFonts w:hint="default" w:ascii="Times New Roman" w:hAnsi="Times New Roman" w:eastAsia="宋体" w:cs="Times New Roman"/>
        </w:rPr>
        <w:t>第七章  评审程序及评审方法</w:t>
      </w:r>
    </w:p>
    <w:p w14:paraId="1364AE31">
      <w:pPr>
        <w:rPr>
          <w:rFonts w:hint="default" w:ascii="Times New Roman" w:hAnsi="Times New Roman" w:eastAsia="宋体" w:cs="Times New Roman"/>
        </w:rPr>
      </w:pPr>
      <w:r>
        <w:rPr>
          <w:rFonts w:hint="default" w:ascii="Times New Roman" w:hAnsi="Times New Roman" w:eastAsia="宋体" w:cs="Times New Roman"/>
        </w:rPr>
        <w:t>第八章  定标及公示</w:t>
      </w:r>
    </w:p>
    <w:p w14:paraId="3B46ADED">
      <w:pPr>
        <w:rPr>
          <w:rFonts w:hint="default" w:ascii="Times New Roman" w:hAnsi="Times New Roman" w:eastAsia="宋体" w:cs="Times New Roman"/>
        </w:rPr>
      </w:pPr>
      <w:r>
        <w:rPr>
          <w:rFonts w:hint="default" w:ascii="Times New Roman" w:hAnsi="Times New Roman" w:eastAsia="宋体" w:cs="Times New Roman"/>
        </w:rPr>
        <w:t>第九章  公开采购失败的后续处理</w:t>
      </w:r>
    </w:p>
    <w:p w14:paraId="41F5FAB9">
      <w:pPr>
        <w:rPr>
          <w:rFonts w:hint="default" w:ascii="Times New Roman" w:hAnsi="Times New Roman" w:eastAsia="宋体" w:cs="Times New Roman"/>
        </w:rPr>
      </w:pPr>
      <w:r>
        <w:rPr>
          <w:rFonts w:hint="default" w:ascii="Times New Roman" w:hAnsi="Times New Roman" w:eastAsia="宋体" w:cs="Times New Roman"/>
        </w:rPr>
        <w:t>第十章  合同的授予与备案</w:t>
      </w:r>
    </w:p>
    <w:p w14:paraId="5854F8B5">
      <w:pPr>
        <w:rPr>
          <w:rFonts w:hint="eastAsia" w:cs="Times New Roman"/>
          <w:lang w:val="en-US" w:eastAsia="zh-CN"/>
        </w:rPr>
      </w:pPr>
      <w:r>
        <w:rPr>
          <w:rFonts w:hint="eastAsia" w:cs="Times New Roman"/>
          <w:lang w:val="en-US" w:eastAsia="zh-CN"/>
        </w:rPr>
        <w:t>第十一章  质疑与处理</w:t>
      </w:r>
    </w:p>
    <w:p w14:paraId="4FB5C2D7">
      <w:pPr>
        <w:rPr>
          <w:rFonts w:hint="default" w:cs="Times New Roman"/>
          <w:lang w:val="en-US" w:eastAsia="zh-CN"/>
        </w:rPr>
      </w:pPr>
      <w:r>
        <w:rPr>
          <w:rFonts w:hint="eastAsia" w:cs="Times New Roman"/>
          <w:lang w:val="en-US" w:eastAsia="zh-CN"/>
        </w:rPr>
        <w:t xml:space="preserve">第十二章  </w:t>
      </w:r>
      <w:r>
        <w:rPr>
          <w:rFonts w:hint="default" w:cs="Times New Roman"/>
          <w:lang w:val="en-US" w:eastAsia="zh-CN"/>
        </w:rPr>
        <w:t>相关政府采购政策文件</w:t>
      </w:r>
    </w:p>
    <w:p w14:paraId="417ED16F">
      <w:pPr>
        <w:rPr>
          <w:rFonts w:hint="default" w:ascii="Times New Roman" w:hAnsi="Times New Roman" w:eastAsia="宋体" w:cs="Times New Roman"/>
        </w:rPr>
      </w:pPr>
    </w:p>
    <w:p w14:paraId="76052DE9">
      <w:pPr>
        <w:rPr>
          <w:rFonts w:hint="default" w:ascii="Times New Roman" w:hAnsi="Times New Roman" w:eastAsia="宋体" w:cs="Times New Roman"/>
        </w:rPr>
      </w:pPr>
      <w:r>
        <w:rPr>
          <w:rFonts w:hint="eastAsia" w:cs="Times New Roman"/>
          <w:lang w:val="en-US" w:eastAsia="zh-CN"/>
        </w:rPr>
        <w:t>8</w:t>
      </w:r>
      <w:r>
        <w:rPr>
          <w:rFonts w:hint="default" w:ascii="Times New Roman" w:hAnsi="Times New Roman" w:eastAsia="宋体" w:cs="Times New Roman"/>
        </w:rPr>
        <w:t>.2 投标人</w:t>
      </w:r>
      <w:r>
        <w:rPr>
          <w:rFonts w:hint="eastAsia" w:cs="Times New Roman"/>
          <w:lang w:val="en-US" w:eastAsia="zh-CN"/>
        </w:rPr>
        <w:t>获取</w:t>
      </w:r>
      <w:r>
        <w:rPr>
          <w:rFonts w:hint="default" w:ascii="Times New Roman" w:hAnsi="Times New Roman" w:eastAsia="宋体" w:cs="Times New Roman"/>
        </w:rPr>
        <w:t>采购文件后，应仔细检查采购文件的所有内容，如有疑问应在答疑截止 时间之前向</w:t>
      </w:r>
      <w:r>
        <w:rPr>
          <w:rFonts w:hint="eastAsia" w:cs="Times New Roman"/>
          <w:lang w:eastAsia="zh-CN"/>
        </w:rPr>
        <w:t xml:space="preserve"> 深圳信德招标服务有限公司</w:t>
      </w:r>
      <w:r>
        <w:rPr>
          <w:rFonts w:hint="default" w:ascii="Times New Roman" w:hAnsi="Times New Roman" w:eastAsia="宋体" w:cs="Times New Roman"/>
        </w:rPr>
        <w:t>提出，否则，由此引起的投标损失自负；投标人同时应 认真审阅采购文件所有的事项、格式、条款和规范要求等，如果投标人的投标文件未按采购 文件要求提交全部资料或者投标文件未对采购文件做出实质性投标，其风险应由投标人自行 承担，并根据有关条款规定，其投标有可能被拒绝。</w:t>
      </w:r>
    </w:p>
    <w:p w14:paraId="3FBE96C6">
      <w:pPr>
        <w:rPr>
          <w:rFonts w:hint="default" w:ascii="Times New Roman" w:hAnsi="Times New Roman" w:eastAsia="宋体" w:cs="Times New Roman"/>
        </w:rPr>
      </w:pPr>
      <w:r>
        <w:rPr>
          <w:rFonts w:hint="eastAsia" w:cs="Times New Roman"/>
          <w:lang w:val="en-US" w:eastAsia="zh-CN"/>
        </w:rPr>
        <w:t>8</w:t>
      </w:r>
      <w:r>
        <w:rPr>
          <w:rFonts w:hint="default" w:ascii="Times New Roman" w:hAnsi="Times New Roman" w:eastAsia="宋体" w:cs="Times New Roman"/>
        </w:rPr>
        <w:t>.3 任何人或任何组织向投标人提交的任何书面或口头资料，未经</w:t>
      </w:r>
      <w:r>
        <w:rPr>
          <w:rFonts w:hint="eastAsia" w:cs="Times New Roman"/>
          <w:lang w:eastAsia="zh-CN"/>
        </w:rPr>
        <w:t xml:space="preserve"> 深圳信德招标服务有限公司</w:t>
      </w:r>
      <w:r>
        <w:rPr>
          <w:rFonts w:hint="default" w:ascii="Times New Roman" w:hAnsi="Times New Roman" w:eastAsia="宋体" w:cs="Times New Roman"/>
        </w:rPr>
        <w:t>在网上发布或书面通知，均作无效处理，不得作为采购文件的组成部分。</w:t>
      </w:r>
      <w:r>
        <w:rPr>
          <w:rFonts w:hint="eastAsia" w:cs="Times New Roman"/>
          <w:lang w:eastAsia="zh-CN"/>
        </w:rPr>
        <w:t xml:space="preserve"> 深圳信德招标服务有限公司</w:t>
      </w:r>
      <w:r>
        <w:rPr>
          <w:rFonts w:hint="default" w:ascii="Times New Roman" w:hAnsi="Times New Roman" w:eastAsia="宋体" w:cs="Times New Roman"/>
        </w:rPr>
        <w:t>对投标人由此而做出的推论、理解和结论概不负责。</w:t>
      </w:r>
    </w:p>
    <w:p w14:paraId="0C60FA45">
      <w:pPr>
        <w:outlineLvl w:val="1"/>
        <w:rPr>
          <w:rFonts w:hint="default" w:ascii="Times New Roman" w:hAnsi="Times New Roman" w:eastAsia="宋体" w:cs="Times New Roman"/>
        </w:rPr>
      </w:pPr>
      <w:r>
        <w:rPr>
          <w:rFonts w:hint="eastAsia" w:cs="Times New Roman"/>
          <w:lang w:val="en-US" w:eastAsia="zh-CN"/>
        </w:rPr>
        <w:t>9</w:t>
      </w:r>
      <w:r>
        <w:rPr>
          <w:rFonts w:hint="default" w:ascii="Times New Roman" w:hAnsi="Times New Roman" w:eastAsia="宋体" w:cs="Times New Roman"/>
        </w:rPr>
        <w:t>．采购文件的答疑</w:t>
      </w:r>
    </w:p>
    <w:p w14:paraId="6C72E107">
      <w:pPr>
        <w:rPr>
          <w:rFonts w:hint="default" w:ascii="Times New Roman" w:hAnsi="Times New Roman" w:eastAsia="宋体" w:cs="Times New Roman"/>
        </w:rPr>
      </w:pPr>
      <w:r>
        <w:rPr>
          <w:rFonts w:hint="eastAsia" w:cs="Times New Roman"/>
          <w:lang w:val="en-US" w:eastAsia="zh-CN"/>
        </w:rPr>
        <w:t>9</w:t>
      </w:r>
      <w:r>
        <w:rPr>
          <w:rFonts w:hint="default" w:ascii="Times New Roman" w:hAnsi="Times New Roman" w:eastAsia="宋体" w:cs="Times New Roman"/>
        </w:rPr>
        <w:t xml:space="preserve">.1 投标人如对采购文件内容有疑问，必须在采购文件规定的答疑截止时间前提交给 </w:t>
      </w:r>
      <w:r>
        <w:rPr>
          <w:rFonts w:hint="eastAsia" w:cs="Times New Roman"/>
          <w:lang w:eastAsia="zh-CN"/>
        </w:rPr>
        <w:t xml:space="preserve"> 深圳信德招标服务有限公司</w:t>
      </w:r>
      <w:r>
        <w:rPr>
          <w:rFonts w:hint="default" w:ascii="Times New Roman" w:hAnsi="Times New Roman" w:eastAsia="宋体" w:cs="Times New Roman"/>
        </w:rPr>
        <w:t>。不论是</w:t>
      </w:r>
      <w:r>
        <w:rPr>
          <w:rFonts w:hint="eastAsia" w:cs="Times New Roman"/>
          <w:lang w:eastAsia="zh-CN"/>
        </w:rPr>
        <w:t xml:space="preserve"> 深圳信德招标服务有限公司</w:t>
      </w:r>
      <w:r>
        <w:rPr>
          <w:rFonts w:hint="default" w:ascii="Times New Roman" w:hAnsi="Times New Roman" w:eastAsia="宋体" w:cs="Times New Roman"/>
        </w:rPr>
        <w:t>根据需要主动对采购文件进行 必要的澄清或是根据投标人的要求对采购文件做出澄清，</w:t>
      </w:r>
      <w:r>
        <w:rPr>
          <w:rFonts w:hint="eastAsia" w:cs="Times New Roman"/>
          <w:lang w:eastAsia="zh-CN"/>
        </w:rPr>
        <w:t xml:space="preserve"> 深圳信德招标服务有限公司</w:t>
      </w:r>
      <w:r>
        <w:rPr>
          <w:rFonts w:hint="default" w:ascii="Times New Roman" w:hAnsi="Times New Roman" w:eastAsia="宋体" w:cs="Times New Roman"/>
        </w:rPr>
        <w:t>都将在投 标截止日期前答复或发送给投标人。</w:t>
      </w:r>
    </w:p>
    <w:p w14:paraId="7072BECE">
      <w:pPr>
        <w:rPr>
          <w:rFonts w:hint="default" w:ascii="Times New Roman" w:hAnsi="Times New Roman" w:eastAsia="宋体" w:cs="Times New Roman"/>
        </w:rPr>
      </w:pPr>
      <w:r>
        <w:rPr>
          <w:rFonts w:hint="eastAsia" w:cs="Times New Roman"/>
          <w:lang w:val="en-US" w:eastAsia="zh-CN"/>
        </w:rPr>
        <w:t>9</w:t>
      </w:r>
      <w:r>
        <w:rPr>
          <w:rFonts w:hint="default" w:ascii="Times New Roman" w:hAnsi="Times New Roman" w:eastAsia="宋体" w:cs="Times New Roman"/>
        </w:rPr>
        <w:t>.2 对于没有提出澄清又参与了该项目投标的投标人将被视为完全认同该采购文件， 投标截止期后不再受理针对采购文件的相关质疑或投诉。</w:t>
      </w:r>
    </w:p>
    <w:p w14:paraId="2709EAD1">
      <w:pPr>
        <w:rPr>
          <w:rFonts w:hint="default" w:ascii="Times New Roman" w:hAnsi="Times New Roman" w:eastAsia="宋体" w:cs="Times New Roman"/>
        </w:rPr>
      </w:pPr>
      <w:r>
        <w:rPr>
          <w:rFonts w:hint="eastAsia" w:cs="Times New Roman"/>
          <w:lang w:val="en-US" w:eastAsia="zh-CN"/>
        </w:rPr>
        <w:t>9</w:t>
      </w:r>
      <w:r>
        <w:rPr>
          <w:rFonts w:hint="default" w:ascii="Times New Roman" w:hAnsi="Times New Roman" w:eastAsia="宋体" w:cs="Times New Roman"/>
        </w:rPr>
        <w:t>.3 对采购文件中描述有歧意或前后不一致的地方，</w:t>
      </w:r>
      <w:r>
        <w:rPr>
          <w:rFonts w:hint="default" w:ascii="Times New Roman" w:hAnsi="Times New Roman" w:eastAsia="宋体" w:cs="Times New Roman"/>
          <w:lang w:eastAsia="zh-CN"/>
        </w:rPr>
        <w:t>评审委员会</w:t>
      </w:r>
      <w:r>
        <w:rPr>
          <w:rFonts w:hint="default" w:ascii="Times New Roman" w:hAnsi="Times New Roman" w:eastAsia="宋体" w:cs="Times New Roman"/>
        </w:rPr>
        <w:t>有权进行评判，但对同 一条款的评判应适用于每个投标人。</w:t>
      </w:r>
    </w:p>
    <w:p w14:paraId="4CD0E66C">
      <w:pPr>
        <w:rPr>
          <w:rFonts w:hint="default" w:ascii="Times New Roman" w:hAnsi="Times New Roman" w:eastAsia="宋体" w:cs="Times New Roman"/>
        </w:rPr>
      </w:pPr>
    </w:p>
    <w:p w14:paraId="2958E22C">
      <w:pPr>
        <w:rPr>
          <w:rFonts w:hint="default" w:ascii="Times New Roman" w:hAnsi="Times New Roman" w:eastAsia="宋体" w:cs="Times New Roman"/>
        </w:rPr>
      </w:pPr>
    </w:p>
    <w:p w14:paraId="03C25572">
      <w:pPr>
        <w:jc w:val="center"/>
        <w:outlineLvl w:val="0"/>
        <w:rPr>
          <w:rFonts w:hint="default" w:ascii="Times New Roman" w:hAnsi="Times New Roman" w:eastAsia="宋体" w:cs="Times New Roman"/>
          <w:b/>
          <w:bCs/>
          <w:sz w:val="32"/>
          <w:szCs w:val="32"/>
        </w:rPr>
      </w:pPr>
      <w:bookmarkStart w:id="93" w:name="bookmark92"/>
      <w:bookmarkEnd w:id="93"/>
      <w:bookmarkStart w:id="94" w:name="bookmark93"/>
      <w:bookmarkEnd w:id="94"/>
      <w:r>
        <w:rPr>
          <w:rFonts w:hint="default" w:ascii="Times New Roman" w:hAnsi="Times New Roman" w:eastAsia="宋体" w:cs="Times New Roman"/>
          <w:b/>
          <w:bCs/>
          <w:sz w:val="32"/>
          <w:szCs w:val="32"/>
        </w:rPr>
        <w:t>第三章 投标文件的编制</w:t>
      </w:r>
    </w:p>
    <w:p w14:paraId="747B98F6">
      <w:pPr>
        <w:outlineLvl w:val="1"/>
        <w:rPr>
          <w:rFonts w:hint="default" w:ascii="Times New Roman" w:hAnsi="Times New Roman" w:eastAsia="宋体" w:cs="Times New Roman"/>
        </w:rPr>
      </w:pPr>
      <w:r>
        <w:rPr>
          <w:rFonts w:hint="default" w:ascii="Times New Roman" w:hAnsi="Times New Roman" w:eastAsia="宋体" w:cs="Times New Roman"/>
        </w:rPr>
        <w:t>1</w:t>
      </w:r>
      <w:r>
        <w:rPr>
          <w:rFonts w:hint="eastAsia" w:cs="Times New Roman"/>
          <w:lang w:val="en-US" w:eastAsia="zh-CN"/>
        </w:rPr>
        <w:t>0</w:t>
      </w:r>
      <w:r>
        <w:rPr>
          <w:rFonts w:hint="default" w:ascii="Times New Roman" w:hAnsi="Times New Roman" w:eastAsia="宋体" w:cs="Times New Roman"/>
        </w:rPr>
        <w:t>．投标文件的语言及度量单位</w:t>
      </w:r>
    </w:p>
    <w:p w14:paraId="665CC6E7">
      <w:pPr>
        <w:rPr>
          <w:rFonts w:hint="default" w:ascii="Times New Roman" w:hAnsi="Times New Roman" w:eastAsia="宋体" w:cs="Times New Roman"/>
        </w:rPr>
      </w:pPr>
      <w:r>
        <w:rPr>
          <w:rFonts w:hint="default" w:ascii="Times New Roman" w:hAnsi="Times New Roman" w:eastAsia="宋体" w:cs="Times New Roman"/>
        </w:rPr>
        <w:t>1</w:t>
      </w:r>
      <w:r>
        <w:rPr>
          <w:rFonts w:hint="eastAsia" w:cs="Times New Roman"/>
          <w:lang w:val="en-US" w:eastAsia="zh-CN"/>
        </w:rPr>
        <w:t>0</w:t>
      </w:r>
      <w:r>
        <w:rPr>
          <w:rFonts w:hint="default" w:ascii="Times New Roman" w:hAnsi="Times New Roman" w:eastAsia="宋体" w:cs="Times New Roman"/>
        </w:rPr>
        <w:t>.1 投标人与</w:t>
      </w:r>
      <w:r>
        <w:rPr>
          <w:rFonts w:hint="eastAsia" w:cs="Times New Roman"/>
          <w:lang w:eastAsia="zh-CN"/>
        </w:rPr>
        <w:t xml:space="preserve"> 深圳信德招标服务有限公司</w:t>
      </w:r>
      <w:r>
        <w:rPr>
          <w:rFonts w:hint="default" w:ascii="Times New Roman" w:hAnsi="Times New Roman" w:eastAsia="宋体" w:cs="Times New Roman"/>
        </w:rPr>
        <w:t>之间与投标有关的所有往来通知、函件和投标 文件均用中文表述。投标人随投标文件提供的证明文件和资料可以为其它语言，但必须附中 文译文。翻译的中文资料与外文资料如果出现差异时， 以中文为准，但翻译错误的除外。</w:t>
      </w:r>
    </w:p>
    <w:p w14:paraId="10E6223F">
      <w:pPr>
        <w:rPr>
          <w:rFonts w:hint="default" w:ascii="Times New Roman" w:hAnsi="Times New Roman" w:eastAsia="宋体" w:cs="Times New Roman"/>
        </w:rPr>
      </w:pPr>
      <w:r>
        <w:rPr>
          <w:rFonts w:hint="default" w:ascii="Times New Roman" w:hAnsi="Times New Roman" w:eastAsia="宋体" w:cs="Times New Roman"/>
        </w:rPr>
        <w:t>1</w:t>
      </w:r>
      <w:r>
        <w:rPr>
          <w:rFonts w:hint="eastAsia" w:cs="Times New Roman"/>
          <w:lang w:val="en-US" w:eastAsia="zh-CN"/>
        </w:rPr>
        <w:t>0</w:t>
      </w:r>
      <w:r>
        <w:rPr>
          <w:rFonts w:hint="default" w:ascii="Times New Roman" w:hAnsi="Times New Roman" w:eastAsia="宋体" w:cs="Times New Roman"/>
        </w:rPr>
        <w:t>.2 除技术规范另有规定外，投标文件使用的度量单位，均采用中华人民共和国法定 计量单位。</w:t>
      </w:r>
    </w:p>
    <w:p w14:paraId="075106E6">
      <w:pPr>
        <w:outlineLvl w:val="1"/>
        <w:rPr>
          <w:rFonts w:hint="default" w:ascii="Times New Roman" w:hAnsi="Times New Roman" w:eastAsia="宋体" w:cs="Times New Roman"/>
        </w:rPr>
      </w:pPr>
      <w:r>
        <w:rPr>
          <w:rFonts w:hint="default" w:ascii="Times New Roman" w:hAnsi="Times New Roman" w:eastAsia="宋体" w:cs="Times New Roman"/>
        </w:rPr>
        <w:t>1</w:t>
      </w:r>
      <w:r>
        <w:rPr>
          <w:rFonts w:hint="eastAsia" w:cs="Times New Roman"/>
          <w:lang w:val="en-US" w:eastAsia="zh-CN"/>
        </w:rPr>
        <w:t>1</w:t>
      </w:r>
      <w:r>
        <w:rPr>
          <w:rFonts w:hint="default" w:ascii="Times New Roman" w:hAnsi="Times New Roman" w:eastAsia="宋体" w:cs="Times New Roman"/>
        </w:rPr>
        <w:t>．投标文件的组成</w:t>
      </w:r>
    </w:p>
    <w:p w14:paraId="12E4D5E0">
      <w:pPr>
        <w:rPr>
          <w:rFonts w:hint="default" w:ascii="Times New Roman" w:hAnsi="Times New Roman" w:eastAsia="宋体" w:cs="Times New Roman"/>
        </w:rPr>
      </w:pPr>
      <w:r>
        <w:rPr>
          <w:rFonts w:hint="default" w:ascii="Times New Roman" w:hAnsi="Times New Roman" w:eastAsia="宋体" w:cs="Times New Roman"/>
        </w:rPr>
        <w:t>本项目实行</w:t>
      </w:r>
      <w:r>
        <w:rPr>
          <w:rFonts w:hint="default" w:ascii="Times New Roman" w:hAnsi="Times New Roman" w:cs="Times New Roman"/>
          <w:lang w:val="en-US" w:eastAsia="zh-CN"/>
        </w:rPr>
        <w:t>电子</w:t>
      </w:r>
      <w:r>
        <w:rPr>
          <w:rFonts w:hint="default" w:ascii="Times New Roman" w:hAnsi="Times New Roman" w:eastAsia="宋体" w:cs="Times New Roman"/>
        </w:rPr>
        <w:t>投标，投标文件必须有详细的、含页码编排的目录，商务、技术和经济 部分合订成一本投标文件。</w:t>
      </w:r>
    </w:p>
    <w:p w14:paraId="40623699">
      <w:pPr>
        <w:outlineLvl w:val="1"/>
        <w:rPr>
          <w:rFonts w:hint="default" w:ascii="Times New Roman" w:hAnsi="Times New Roman" w:eastAsia="宋体" w:cs="Times New Roman"/>
        </w:rPr>
      </w:pPr>
      <w:r>
        <w:rPr>
          <w:rFonts w:hint="default" w:ascii="Times New Roman" w:hAnsi="Times New Roman" w:eastAsia="宋体" w:cs="Times New Roman"/>
        </w:rPr>
        <w:t>1</w:t>
      </w:r>
      <w:r>
        <w:rPr>
          <w:rFonts w:hint="eastAsia" w:cs="Times New Roman"/>
          <w:lang w:val="en-US" w:eastAsia="zh-CN"/>
        </w:rPr>
        <w:t>2</w:t>
      </w:r>
      <w:r>
        <w:rPr>
          <w:rFonts w:hint="default" w:ascii="Times New Roman" w:hAnsi="Times New Roman" w:eastAsia="宋体" w:cs="Times New Roman"/>
        </w:rPr>
        <w:t>．投标文件格式</w:t>
      </w:r>
    </w:p>
    <w:p w14:paraId="7BCB043D">
      <w:pPr>
        <w:rPr>
          <w:rFonts w:hint="default" w:ascii="Times New Roman" w:hAnsi="Times New Roman" w:eastAsia="宋体" w:cs="Times New Roman"/>
        </w:rPr>
      </w:pPr>
      <w:r>
        <w:rPr>
          <w:rFonts w:hint="default" w:ascii="Times New Roman" w:hAnsi="Times New Roman" w:eastAsia="宋体" w:cs="Times New Roman"/>
        </w:rPr>
        <w:t>投标人提交的投标文件应毫无例外地使用招标文件所提供的相应格式并统一使用 A4 篇幅（表格可以按同样格式扩展）。</w:t>
      </w:r>
    </w:p>
    <w:p w14:paraId="3F2C515C">
      <w:pPr>
        <w:rPr>
          <w:rFonts w:hint="default" w:ascii="Times New Roman" w:hAnsi="Times New Roman" w:eastAsia="宋体" w:cs="Times New Roman"/>
        </w:rPr>
      </w:pPr>
      <w:r>
        <w:rPr>
          <w:rFonts w:hint="default" w:ascii="Times New Roman" w:hAnsi="Times New Roman" w:eastAsia="宋体" w:cs="Times New Roman"/>
        </w:rPr>
        <w:t>1</w:t>
      </w:r>
      <w:r>
        <w:rPr>
          <w:rFonts w:hint="eastAsia" w:cs="Times New Roman"/>
          <w:lang w:val="en-US" w:eastAsia="zh-CN"/>
        </w:rPr>
        <w:t>3</w:t>
      </w:r>
      <w:r>
        <w:rPr>
          <w:rFonts w:hint="default" w:ascii="Times New Roman" w:hAnsi="Times New Roman" w:eastAsia="宋体" w:cs="Times New Roman"/>
        </w:rPr>
        <w:t>．证明投标文件投标技术方案的合格性和符合采购文件规定的文件要求</w:t>
      </w:r>
    </w:p>
    <w:p w14:paraId="25D20C0A">
      <w:pPr>
        <w:rPr>
          <w:rFonts w:hint="default" w:ascii="Times New Roman" w:hAnsi="Times New Roman" w:eastAsia="宋体" w:cs="Times New Roman"/>
        </w:rPr>
      </w:pPr>
      <w:r>
        <w:rPr>
          <w:rFonts w:hint="default" w:ascii="Times New Roman" w:hAnsi="Times New Roman" w:eastAsia="宋体" w:cs="Times New Roman"/>
        </w:rPr>
        <w:t>1</w:t>
      </w:r>
      <w:r>
        <w:rPr>
          <w:rFonts w:hint="eastAsia" w:cs="Times New Roman"/>
          <w:lang w:val="en-US" w:eastAsia="zh-CN"/>
        </w:rPr>
        <w:t>3</w:t>
      </w:r>
      <w:r>
        <w:rPr>
          <w:rFonts w:hint="default" w:ascii="Times New Roman" w:hAnsi="Times New Roman" w:eastAsia="宋体" w:cs="Times New Roman"/>
        </w:rPr>
        <w:t>.1 投标人应提交证明文件证明其投标技术方案项下的货物、工程和服务的合格性符 合采购文件规定。该投标技术方案及其证明文件作为投标文件的一部分。</w:t>
      </w:r>
    </w:p>
    <w:p w14:paraId="53FCD5ED">
      <w:pPr>
        <w:rPr>
          <w:rFonts w:hint="default" w:ascii="Times New Roman" w:hAnsi="Times New Roman" w:eastAsia="宋体" w:cs="Times New Roman"/>
        </w:rPr>
      </w:pPr>
      <w:r>
        <w:rPr>
          <w:rFonts w:hint="default" w:ascii="Times New Roman" w:hAnsi="Times New Roman" w:eastAsia="宋体" w:cs="Times New Roman"/>
        </w:rPr>
        <w:t>1</w:t>
      </w:r>
      <w:r>
        <w:rPr>
          <w:rFonts w:hint="eastAsia" w:cs="Times New Roman"/>
          <w:lang w:val="en-US" w:eastAsia="zh-CN"/>
        </w:rPr>
        <w:t>3</w:t>
      </w:r>
      <w:r>
        <w:rPr>
          <w:rFonts w:hint="default" w:ascii="Times New Roman" w:hAnsi="Times New Roman" w:eastAsia="宋体" w:cs="Times New Roman"/>
        </w:rPr>
        <w:t>.2 投标人提供证明投标技术方案与采购文件的要求相一致的文件，可以是文字资料、 图纸、数据或数码照片、制造商公布的产品说明书、产品彩页和我国政府机构出具的产品检 验和核准证件等， 以证明投标人投标的真实性。它包括并应符合以下要求：</w:t>
      </w:r>
    </w:p>
    <w:p w14:paraId="0F9CDAE6">
      <w:pPr>
        <w:outlineLvl w:val="9"/>
        <w:rPr>
          <w:rFonts w:hint="default" w:ascii="Times New Roman" w:hAnsi="Times New Roman" w:eastAsia="宋体" w:cs="Times New Roman"/>
        </w:rPr>
      </w:pPr>
      <w:r>
        <w:rPr>
          <w:rFonts w:hint="default" w:ascii="Times New Roman" w:hAnsi="Times New Roman" w:eastAsia="宋体" w:cs="Times New Roman"/>
        </w:rPr>
        <w:t>1</w:t>
      </w:r>
      <w:r>
        <w:rPr>
          <w:rFonts w:hint="eastAsia" w:cs="Times New Roman"/>
          <w:lang w:val="en-US" w:eastAsia="zh-CN"/>
        </w:rPr>
        <w:t>3</w:t>
      </w:r>
      <w:r>
        <w:rPr>
          <w:rFonts w:hint="default" w:ascii="Times New Roman" w:hAnsi="Times New Roman" w:eastAsia="宋体" w:cs="Times New Roman"/>
        </w:rPr>
        <w:t>.2.1 主要技术指标和性能的详细说明。</w:t>
      </w:r>
    </w:p>
    <w:p w14:paraId="53F1BBEA">
      <w:pPr>
        <w:rPr>
          <w:rFonts w:hint="default" w:ascii="Times New Roman" w:hAnsi="Times New Roman" w:eastAsia="宋体" w:cs="Times New Roman"/>
        </w:rPr>
      </w:pPr>
      <w:r>
        <w:rPr>
          <w:rFonts w:hint="default" w:ascii="Times New Roman" w:hAnsi="Times New Roman" w:eastAsia="宋体" w:cs="Times New Roman"/>
        </w:rPr>
        <w:t>1</w:t>
      </w:r>
      <w:r>
        <w:rPr>
          <w:rFonts w:hint="eastAsia" w:cs="Times New Roman"/>
          <w:lang w:val="en-US" w:eastAsia="zh-CN"/>
        </w:rPr>
        <w:t>3</w:t>
      </w:r>
      <w:r>
        <w:rPr>
          <w:rFonts w:hint="default" w:ascii="Times New Roman" w:hAnsi="Times New Roman" w:eastAsia="宋体" w:cs="Times New Roman"/>
        </w:rPr>
        <w:t>.2.2 投标产品从采购人开始使用至采购文件中规定的周期内正常、连续地使用所必 须的备件和专用工具清单，包括备件和专用工具的货源及现行价格。</w:t>
      </w:r>
    </w:p>
    <w:p w14:paraId="0A669C68">
      <w:pPr>
        <w:rPr>
          <w:rFonts w:hint="default" w:ascii="Times New Roman" w:hAnsi="Times New Roman" w:eastAsia="宋体" w:cs="Times New Roman"/>
        </w:rPr>
      </w:pPr>
      <w:r>
        <w:rPr>
          <w:rFonts w:hint="default" w:ascii="Times New Roman" w:hAnsi="Times New Roman" w:eastAsia="宋体" w:cs="Times New Roman"/>
        </w:rPr>
        <w:t>1</w:t>
      </w:r>
      <w:r>
        <w:rPr>
          <w:rFonts w:hint="eastAsia" w:cs="Times New Roman"/>
          <w:lang w:val="en-US" w:eastAsia="zh-CN"/>
        </w:rPr>
        <w:t>3</w:t>
      </w:r>
      <w:r>
        <w:rPr>
          <w:rFonts w:hint="default" w:ascii="Times New Roman" w:hAnsi="Times New Roman" w:eastAsia="宋体" w:cs="Times New Roman"/>
        </w:rPr>
        <w:t>.2.3 对照采购文件技术规格，逐条说明投标技术方案已对采购人的技术规格做出了 实质性的投标，或申明与技术规格条文的偏差和例外。投标人应详细说明投标技术方案中产 品的具体参数，不得照搬照抄采购文件的技术要求。</w:t>
      </w:r>
    </w:p>
    <w:p w14:paraId="7C863B0E">
      <w:pPr>
        <w:rPr>
          <w:rFonts w:hint="default" w:ascii="Times New Roman" w:hAnsi="Times New Roman" w:eastAsia="宋体" w:cs="Times New Roman"/>
        </w:rPr>
      </w:pPr>
      <w:r>
        <w:rPr>
          <w:rFonts w:hint="default" w:ascii="Times New Roman" w:hAnsi="Times New Roman" w:eastAsia="宋体" w:cs="Times New Roman"/>
        </w:rPr>
        <w:t>1</w:t>
      </w:r>
      <w:r>
        <w:rPr>
          <w:rFonts w:hint="eastAsia" w:cs="Times New Roman"/>
          <w:lang w:val="en-US" w:eastAsia="zh-CN"/>
        </w:rPr>
        <w:t>3</w:t>
      </w:r>
      <w:r>
        <w:rPr>
          <w:rFonts w:hint="default" w:ascii="Times New Roman" w:hAnsi="Times New Roman" w:eastAsia="宋体" w:cs="Times New Roman"/>
        </w:rPr>
        <w:t>.2.4 产品说明书或彩页应为制造商公布或出具的中文产品说明书或彩页；提供外文 说明书或彩页的，必须同时提供加盖制造商公章的对应中文翻译说明，评审依据以中文翻译 内容为准，外文说明书或彩页仅供参考；产品说明书或彩页的尺寸和清晰度要求能够使用电 脑阅读、识别和判断；</w:t>
      </w:r>
    </w:p>
    <w:p w14:paraId="2EF8AE02">
      <w:pPr>
        <w:rPr>
          <w:rFonts w:hint="default" w:ascii="Times New Roman" w:hAnsi="Times New Roman" w:eastAsia="宋体" w:cs="Times New Roman"/>
        </w:rPr>
      </w:pPr>
      <w:r>
        <w:rPr>
          <w:rFonts w:hint="default" w:ascii="Times New Roman" w:hAnsi="Times New Roman" w:eastAsia="宋体" w:cs="Times New Roman"/>
        </w:rPr>
        <w:t>1</w:t>
      </w:r>
      <w:r>
        <w:rPr>
          <w:rFonts w:hint="eastAsia" w:cs="Times New Roman"/>
          <w:lang w:val="en-US" w:eastAsia="zh-CN"/>
        </w:rPr>
        <w:t>3</w:t>
      </w:r>
      <w:r>
        <w:rPr>
          <w:rFonts w:hint="default" w:ascii="Times New Roman" w:hAnsi="Times New Roman" w:eastAsia="宋体" w:cs="Times New Roman"/>
        </w:rPr>
        <w:t>.2.5 我国政府机构出具的产品检验和核准证件应为证件正面、背面和附件标注的全 部具体内容；产品检验和核准证件的尺寸和清晰度应该能够在电脑上被阅读、识别和判断， 提供原件扫描件。</w:t>
      </w:r>
    </w:p>
    <w:p w14:paraId="671CCF8C">
      <w:pPr>
        <w:rPr>
          <w:rFonts w:hint="default" w:ascii="Times New Roman" w:hAnsi="Times New Roman" w:eastAsia="宋体" w:cs="Times New Roman"/>
        </w:rPr>
      </w:pPr>
      <w:r>
        <w:rPr>
          <w:rFonts w:hint="default" w:ascii="Times New Roman" w:hAnsi="Times New Roman" w:eastAsia="宋体" w:cs="Times New Roman"/>
        </w:rPr>
        <w:t>1</w:t>
      </w:r>
      <w:r>
        <w:rPr>
          <w:rFonts w:hint="eastAsia" w:cs="Times New Roman"/>
          <w:lang w:val="en-US" w:eastAsia="zh-CN"/>
        </w:rPr>
        <w:t>3</w:t>
      </w:r>
      <w:r>
        <w:rPr>
          <w:rFonts w:hint="default" w:ascii="Times New Roman" w:hAnsi="Times New Roman" w:eastAsia="宋体" w:cs="Times New Roman"/>
        </w:rPr>
        <w:t>.3 相关资料不符合 18.2 款要求的，</w:t>
      </w:r>
      <w:r>
        <w:rPr>
          <w:rFonts w:hint="default" w:ascii="Times New Roman" w:hAnsi="Times New Roman" w:eastAsia="宋体" w:cs="Times New Roman"/>
          <w:lang w:eastAsia="zh-CN"/>
        </w:rPr>
        <w:t>评审委员会</w:t>
      </w:r>
      <w:r>
        <w:rPr>
          <w:rFonts w:hint="default" w:ascii="Times New Roman" w:hAnsi="Times New Roman" w:eastAsia="宋体" w:cs="Times New Roman"/>
        </w:rPr>
        <w:t>有权认定为投标技术方案不合格投标， 其相关分数予以扣减或作投标无效处理。</w:t>
      </w:r>
    </w:p>
    <w:p w14:paraId="7302A615">
      <w:pPr>
        <w:rPr>
          <w:rFonts w:hint="default" w:ascii="Times New Roman" w:hAnsi="Times New Roman" w:eastAsia="宋体" w:cs="Times New Roman"/>
        </w:rPr>
      </w:pPr>
      <w:r>
        <w:rPr>
          <w:rFonts w:hint="default" w:ascii="Times New Roman" w:hAnsi="Times New Roman" w:eastAsia="宋体" w:cs="Times New Roman"/>
        </w:rPr>
        <w:t>1</w:t>
      </w:r>
      <w:r>
        <w:rPr>
          <w:rFonts w:hint="eastAsia" w:cs="Times New Roman"/>
          <w:lang w:val="en-US" w:eastAsia="zh-CN"/>
        </w:rPr>
        <w:t>3</w:t>
      </w:r>
      <w:r>
        <w:rPr>
          <w:rFonts w:hint="default" w:ascii="Times New Roman" w:hAnsi="Times New Roman" w:eastAsia="宋体" w:cs="Times New Roman"/>
        </w:rPr>
        <w:t>.4 投标人在阐述上述第 18.2 时应注意采购人在技术规格中指出的工艺、材料和设备 的标准以及参照的牌号或分类号仅起说明作用，并没有任何限制性。投标人在投标中可以选 用替代标准、牌号或分类号，但这些替代要实质上满足采购文件中技术规格的要求，是否满 足要求， 由</w:t>
      </w:r>
      <w:r>
        <w:rPr>
          <w:rFonts w:hint="default" w:ascii="Times New Roman" w:hAnsi="Times New Roman" w:eastAsia="宋体" w:cs="Times New Roman"/>
          <w:lang w:eastAsia="zh-CN"/>
        </w:rPr>
        <w:t>评审委员会</w:t>
      </w:r>
      <w:r>
        <w:rPr>
          <w:rFonts w:hint="default" w:ascii="Times New Roman" w:hAnsi="Times New Roman" w:eastAsia="宋体" w:cs="Times New Roman"/>
        </w:rPr>
        <w:t>来评判。</w:t>
      </w:r>
    </w:p>
    <w:p w14:paraId="3FB1E0F3">
      <w:pPr>
        <w:rPr>
          <w:rFonts w:hint="default" w:ascii="Times New Roman" w:hAnsi="Times New Roman" w:eastAsia="宋体" w:cs="Times New Roman"/>
        </w:rPr>
      </w:pPr>
      <w:r>
        <w:rPr>
          <w:rFonts w:hint="default" w:ascii="Times New Roman" w:hAnsi="Times New Roman" w:eastAsia="宋体" w:cs="Times New Roman"/>
        </w:rPr>
        <w:t>1</w:t>
      </w:r>
      <w:r>
        <w:rPr>
          <w:rFonts w:hint="eastAsia" w:cs="Times New Roman"/>
          <w:lang w:val="en-US" w:eastAsia="zh-CN"/>
        </w:rPr>
        <w:t>3</w:t>
      </w:r>
      <w:r>
        <w:rPr>
          <w:rFonts w:hint="default" w:ascii="Times New Roman" w:hAnsi="Times New Roman" w:eastAsia="宋体" w:cs="Times New Roman"/>
        </w:rPr>
        <w:t>.5 为保证公平公正，除非另有规定或说明，投标人对同一货物或服务投标时，不得 同时提供两套或两套以上的投标方案。</w:t>
      </w:r>
    </w:p>
    <w:p w14:paraId="04809219">
      <w:pPr>
        <w:outlineLvl w:val="1"/>
        <w:rPr>
          <w:rFonts w:hint="default" w:ascii="Times New Roman" w:hAnsi="Times New Roman" w:eastAsia="宋体" w:cs="Times New Roman"/>
        </w:rPr>
      </w:pPr>
      <w:r>
        <w:rPr>
          <w:rFonts w:hint="default" w:ascii="Times New Roman" w:hAnsi="Times New Roman" w:eastAsia="宋体" w:cs="Times New Roman"/>
        </w:rPr>
        <w:t>1</w:t>
      </w:r>
      <w:r>
        <w:rPr>
          <w:rFonts w:hint="eastAsia" w:cs="Times New Roman"/>
          <w:lang w:val="en-US" w:eastAsia="zh-CN"/>
        </w:rPr>
        <w:t>4</w:t>
      </w:r>
      <w:r>
        <w:rPr>
          <w:rFonts w:hint="default" w:ascii="Times New Roman" w:hAnsi="Times New Roman" w:eastAsia="宋体" w:cs="Times New Roman"/>
        </w:rPr>
        <w:t>．投标文件其他证明文件的要求</w:t>
      </w:r>
    </w:p>
    <w:p w14:paraId="68FC6713">
      <w:pPr>
        <w:rPr>
          <w:rFonts w:hint="default" w:ascii="Times New Roman" w:hAnsi="Times New Roman" w:eastAsia="宋体" w:cs="Times New Roman"/>
        </w:rPr>
      </w:pPr>
      <w:r>
        <w:rPr>
          <w:rFonts w:hint="default" w:ascii="Times New Roman" w:hAnsi="Times New Roman" w:eastAsia="宋体" w:cs="Times New Roman"/>
        </w:rPr>
        <w:t>1</w:t>
      </w:r>
      <w:r>
        <w:rPr>
          <w:rFonts w:hint="eastAsia" w:cs="Times New Roman"/>
          <w:lang w:val="en-US" w:eastAsia="zh-CN"/>
        </w:rPr>
        <w:t>4</w:t>
      </w:r>
      <w:r>
        <w:rPr>
          <w:rFonts w:hint="default" w:ascii="Times New Roman" w:hAnsi="Times New Roman" w:eastAsia="宋体" w:cs="Times New Roman"/>
        </w:rPr>
        <w:t>.1 对项目采购文件《评审信息》评分项中涉及的相关业绩、社保情况等内容以及《资 格性审查表》和《符合性审查表》中涉及的资格证书，投标人应提供相关部门出具的证明材 料扫描件，原件备查。若投标人未按要求提供证明材料或提供的是部分证明材料或提供不清 晰的扫描件（或照片）的，</w:t>
      </w:r>
      <w:r>
        <w:rPr>
          <w:rFonts w:hint="default" w:ascii="Times New Roman" w:hAnsi="Times New Roman" w:eastAsia="宋体" w:cs="Times New Roman"/>
          <w:lang w:eastAsia="zh-CN"/>
        </w:rPr>
        <w:t>评审委员会</w:t>
      </w:r>
      <w:r>
        <w:rPr>
          <w:rFonts w:hint="default" w:ascii="Times New Roman" w:hAnsi="Times New Roman" w:eastAsia="宋体" w:cs="Times New Roman"/>
        </w:rPr>
        <w:t>有权认定其投标文件未对采购文件有关需求进行投标， 涉及资格性检查或符合性检查的予以投标无效处理，涉及《评审信息》打分项的则该项评分予以 0 分处理。</w:t>
      </w:r>
    </w:p>
    <w:p w14:paraId="5DF156B7">
      <w:pPr>
        <w:rPr>
          <w:rFonts w:hint="default" w:ascii="Times New Roman" w:hAnsi="Times New Roman" w:eastAsia="宋体" w:cs="Times New Roman"/>
        </w:rPr>
      </w:pPr>
      <w:r>
        <w:rPr>
          <w:rFonts w:hint="default" w:ascii="Times New Roman" w:hAnsi="Times New Roman" w:eastAsia="宋体" w:cs="Times New Roman"/>
        </w:rPr>
        <w:t>1</w:t>
      </w:r>
      <w:r>
        <w:rPr>
          <w:rFonts w:hint="eastAsia" w:cs="Times New Roman"/>
          <w:lang w:val="en-US" w:eastAsia="zh-CN"/>
        </w:rPr>
        <w:t>4</w:t>
      </w:r>
      <w:r>
        <w:rPr>
          <w:rFonts w:hint="default" w:ascii="Times New Roman" w:hAnsi="Times New Roman" w:eastAsia="宋体" w:cs="Times New Roman"/>
        </w:rPr>
        <w:t>.2 本项目涉及提供的有关资质证书，若原有资质证书处于年审期间，须提供证书颁 发部门提供的回执，并且回执须证明该证书依然有效（若在法规范围不需提供的，投标人应 做书面说明并提供证明文件，否则该证书无效），则该投标人提供年审证明的可按原资质投 标；若投标人正在申报上一级别资质，在未获批准之前，仍按原级别资质投标。</w:t>
      </w:r>
    </w:p>
    <w:p w14:paraId="5C0EDCB9">
      <w:pPr>
        <w:rPr>
          <w:rFonts w:hint="default" w:ascii="Times New Roman" w:hAnsi="Times New Roman" w:eastAsia="宋体" w:cs="Times New Roman"/>
        </w:rPr>
      </w:pPr>
    </w:p>
    <w:p w14:paraId="33B48651">
      <w:pPr>
        <w:jc w:val="center"/>
        <w:outlineLvl w:val="0"/>
        <w:rPr>
          <w:rFonts w:hint="default" w:ascii="Times New Roman" w:hAnsi="Times New Roman" w:eastAsia="宋体" w:cs="Times New Roman"/>
          <w:b/>
          <w:bCs/>
          <w:sz w:val="32"/>
          <w:szCs w:val="32"/>
        </w:rPr>
      </w:pPr>
      <w:bookmarkStart w:id="95" w:name="bookmark94"/>
      <w:bookmarkEnd w:id="95"/>
      <w:bookmarkStart w:id="96" w:name="bookmark95"/>
      <w:bookmarkEnd w:id="96"/>
      <w:r>
        <w:rPr>
          <w:rFonts w:hint="default" w:ascii="Times New Roman" w:hAnsi="Times New Roman" w:eastAsia="宋体" w:cs="Times New Roman"/>
          <w:b/>
          <w:bCs/>
          <w:sz w:val="32"/>
          <w:szCs w:val="32"/>
        </w:rPr>
        <w:t>第四章 投标文件的递交</w:t>
      </w:r>
    </w:p>
    <w:p w14:paraId="3B95BA0F">
      <w:pPr>
        <w:outlineLvl w:val="1"/>
        <w:rPr>
          <w:rFonts w:hint="default" w:ascii="Times New Roman" w:hAnsi="Times New Roman" w:eastAsia="宋体" w:cs="Times New Roman"/>
        </w:rPr>
      </w:pPr>
      <w:r>
        <w:rPr>
          <w:rFonts w:hint="default" w:ascii="Times New Roman" w:hAnsi="Times New Roman" w:eastAsia="宋体" w:cs="Times New Roman"/>
        </w:rPr>
        <w:t>1</w:t>
      </w:r>
      <w:r>
        <w:rPr>
          <w:rFonts w:hint="eastAsia" w:cs="Times New Roman"/>
          <w:lang w:val="en-US" w:eastAsia="zh-CN"/>
        </w:rPr>
        <w:t>5</w:t>
      </w:r>
      <w:r>
        <w:rPr>
          <w:rFonts w:hint="default" w:ascii="Times New Roman" w:hAnsi="Times New Roman" w:eastAsia="宋体" w:cs="Times New Roman"/>
        </w:rPr>
        <w:t>．投标有效期</w:t>
      </w:r>
    </w:p>
    <w:p w14:paraId="143438E6">
      <w:pPr>
        <w:rPr>
          <w:rFonts w:hint="default" w:ascii="Times New Roman" w:hAnsi="Times New Roman" w:eastAsia="宋体" w:cs="Times New Roman"/>
        </w:rPr>
      </w:pPr>
      <w:r>
        <w:rPr>
          <w:rFonts w:hint="default" w:ascii="Times New Roman" w:hAnsi="Times New Roman" w:eastAsia="宋体" w:cs="Times New Roman"/>
        </w:rPr>
        <w:t>1</w:t>
      </w:r>
      <w:r>
        <w:rPr>
          <w:rFonts w:hint="eastAsia" w:cs="Times New Roman"/>
          <w:lang w:val="en-US" w:eastAsia="zh-CN"/>
        </w:rPr>
        <w:t>5</w:t>
      </w:r>
      <w:r>
        <w:rPr>
          <w:rFonts w:hint="default" w:ascii="Times New Roman" w:hAnsi="Times New Roman" w:eastAsia="宋体" w:cs="Times New Roman"/>
        </w:rPr>
        <w:t>.1 投标有效期为从投标截止之日算起的日历天数，具体见专用条款中投标有效期的 天数要求。在此期限内，所有投标文件均保持有效；</w:t>
      </w:r>
    </w:p>
    <w:p w14:paraId="5BAEE2FB">
      <w:pPr>
        <w:rPr>
          <w:rFonts w:hint="default" w:ascii="Times New Roman" w:hAnsi="Times New Roman" w:eastAsia="宋体" w:cs="Times New Roman"/>
        </w:rPr>
      </w:pPr>
      <w:r>
        <w:rPr>
          <w:rFonts w:hint="default" w:ascii="Times New Roman" w:hAnsi="Times New Roman" w:eastAsia="宋体" w:cs="Times New Roman"/>
        </w:rPr>
        <w:t>1</w:t>
      </w:r>
      <w:r>
        <w:rPr>
          <w:rFonts w:hint="eastAsia" w:cs="Times New Roman"/>
          <w:lang w:val="en-US" w:eastAsia="zh-CN"/>
        </w:rPr>
        <w:t>5</w:t>
      </w:r>
      <w:r>
        <w:rPr>
          <w:rFonts w:hint="default" w:ascii="Times New Roman" w:hAnsi="Times New Roman" w:eastAsia="宋体" w:cs="Times New Roman"/>
        </w:rPr>
        <w:t>.2 中选单位的投标书有效期，截止于完成本采购文件规定的全部项目内容，并通过 竣工验收及保修结束。</w:t>
      </w:r>
    </w:p>
    <w:p w14:paraId="0A9DD185">
      <w:pPr>
        <w:rPr>
          <w:rFonts w:hint="default" w:ascii="Times New Roman" w:hAnsi="Times New Roman" w:eastAsia="宋体" w:cs="Times New Roman"/>
        </w:rPr>
      </w:pPr>
      <w:r>
        <w:rPr>
          <w:rFonts w:hint="default" w:ascii="Times New Roman" w:hAnsi="Times New Roman" w:eastAsia="宋体" w:cs="Times New Roman"/>
        </w:rPr>
        <w:t>投标文件的递交</w:t>
      </w:r>
    </w:p>
    <w:p w14:paraId="5248CF21">
      <w:pPr>
        <w:outlineLvl w:val="1"/>
        <w:rPr>
          <w:rFonts w:hint="default" w:ascii="Times New Roman" w:hAnsi="Times New Roman" w:eastAsia="宋体" w:cs="Times New Roman"/>
        </w:rPr>
      </w:pPr>
      <w:r>
        <w:rPr>
          <w:rFonts w:hint="default" w:ascii="Times New Roman" w:hAnsi="Times New Roman" w:eastAsia="宋体" w:cs="Times New Roman"/>
        </w:rPr>
        <w:t>1</w:t>
      </w:r>
      <w:r>
        <w:rPr>
          <w:rFonts w:hint="eastAsia" w:cs="Times New Roman"/>
          <w:lang w:val="en-US" w:eastAsia="zh-CN"/>
        </w:rPr>
        <w:t>6</w:t>
      </w:r>
      <w:r>
        <w:rPr>
          <w:rFonts w:hint="default" w:ascii="Times New Roman" w:hAnsi="Times New Roman" w:eastAsia="宋体" w:cs="Times New Roman"/>
        </w:rPr>
        <w:t>．投标文件的递交</w:t>
      </w:r>
    </w:p>
    <w:p w14:paraId="5E4142E9">
      <w:pPr>
        <w:rPr>
          <w:rFonts w:hint="default" w:ascii="Times New Roman" w:hAnsi="Times New Roman" w:eastAsia="宋体" w:cs="Times New Roman"/>
          <w:lang w:eastAsia="zh-CN"/>
        </w:rPr>
      </w:pPr>
      <w:r>
        <w:rPr>
          <w:rFonts w:hint="default" w:ascii="Times New Roman" w:hAnsi="Times New Roman" w:eastAsia="宋体" w:cs="Times New Roman"/>
        </w:rPr>
        <w:t>本项目实行</w:t>
      </w:r>
      <w:r>
        <w:rPr>
          <w:rFonts w:hint="eastAsia" w:cs="Times New Roman"/>
          <w:lang w:val="en-US" w:eastAsia="zh-CN"/>
        </w:rPr>
        <w:t>纸质</w:t>
      </w:r>
      <w:r>
        <w:rPr>
          <w:rFonts w:hint="default" w:ascii="Times New Roman" w:hAnsi="Times New Roman" w:eastAsia="宋体" w:cs="Times New Roman"/>
        </w:rPr>
        <w:t>投标，投标单位务必于投标截止时间前，</w:t>
      </w:r>
      <w:r>
        <w:rPr>
          <w:rFonts w:hint="eastAsia" w:cs="Times New Roman"/>
          <w:lang w:val="en-US" w:eastAsia="zh-CN"/>
        </w:rPr>
        <w:t>递交纸质</w:t>
      </w:r>
      <w:r>
        <w:rPr>
          <w:rFonts w:hint="default" w:ascii="Times New Roman" w:hAnsi="Times New Roman" w:eastAsia="宋体" w:cs="Times New Roman"/>
        </w:rPr>
        <w:t>投标文件，封表面均应正确标明项目</w:t>
      </w:r>
      <w:r>
        <w:rPr>
          <w:rFonts w:hint="default" w:ascii="Times New Roman" w:hAnsi="Times New Roman" w:cs="Times New Roman"/>
          <w:lang w:val="en-US" w:eastAsia="zh-CN"/>
        </w:rPr>
        <w:t>编号</w:t>
      </w:r>
      <w:r>
        <w:rPr>
          <w:rFonts w:hint="default" w:ascii="Times New Roman" w:hAnsi="Times New Roman" w:eastAsia="宋体" w:cs="Times New Roman"/>
        </w:rPr>
        <w:t>、项目名称。投标文件未按照前述要 求递交将作投标无效处理</w:t>
      </w:r>
      <w:r>
        <w:rPr>
          <w:rFonts w:hint="default" w:ascii="Times New Roman" w:hAnsi="Times New Roman" w:eastAsia="宋体" w:cs="Times New Roman"/>
          <w:lang w:eastAsia="zh-CN"/>
        </w:rPr>
        <w:t>。</w:t>
      </w:r>
    </w:p>
    <w:p w14:paraId="7ECE60D3">
      <w:pPr>
        <w:outlineLvl w:val="1"/>
        <w:rPr>
          <w:rFonts w:hint="default" w:ascii="Times New Roman" w:hAnsi="Times New Roman" w:eastAsia="宋体" w:cs="Times New Roman"/>
        </w:rPr>
      </w:pPr>
      <w:r>
        <w:rPr>
          <w:rFonts w:hint="eastAsia" w:cs="Times New Roman"/>
          <w:lang w:val="en-US" w:eastAsia="zh-CN"/>
        </w:rPr>
        <w:t>17</w:t>
      </w:r>
      <w:r>
        <w:rPr>
          <w:rFonts w:hint="default" w:ascii="Times New Roman" w:hAnsi="Times New Roman" w:eastAsia="宋体" w:cs="Times New Roman"/>
        </w:rPr>
        <w:t>．样品的递交</w:t>
      </w:r>
    </w:p>
    <w:p w14:paraId="05DBEAA4">
      <w:pPr>
        <w:rPr>
          <w:rFonts w:hint="default" w:ascii="Times New Roman" w:hAnsi="Times New Roman" w:eastAsia="宋体" w:cs="Times New Roman"/>
        </w:rPr>
      </w:pPr>
      <w:r>
        <w:rPr>
          <w:rFonts w:hint="eastAsia" w:cs="Times New Roman"/>
          <w:lang w:val="en-US" w:eastAsia="zh-CN"/>
        </w:rPr>
        <w:t>17</w:t>
      </w:r>
      <w:r>
        <w:rPr>
          <w:rFonts w:hint="default" w:ascii="Times New Roman" w:hAnsi="Times New Roman" w:eastAsia="宋体" w:cs="Times New Roman"/>
        </w:rPr>
        <w:t>.1 原则上，不接受样品要求（如有要求，详见第一册专用条款的第二章相关内容）。 如确有必要，采购人可以要求投标人提供能反映货物材质或关键部分的极少部分的尺寸、价 值不大的样品，投标人在投标时应提交《样品清单》，所提供样品必须密封包装，样品作为 投标文件的一部分。</w:t>
      </w:r>
    </w:p>
    <w:p w14:paraId="5D6A2A99">
      <w:pPr>
        <w:rPr>
          <w:rFonts w:hint="default" w:ascii="Times New Roman" w:hAnsi="Times New Roman" w:eastAsia="宋体" w:cs="Times New Roman"/>
        </w:rPr>
      </w:pPr>
      <w:r>
        <w:rPr>
          <w:rFonts w:hint="eastAsia" w:cs="Times New Roman"/>
          <w:lang w:val="en-US" w:eastAsia="zh-CN"/>
        </w:rPr>
        <w:t>17</w:t>
      </w:r>
      <w:r>
        <w:rPr>
          <w:rFonts w:hint="default" w:ascii="Times New Roman" w:hAnsi="Times New Roman" w:eastAsia="宋体" w:cs="Times New Roman"/>
        </w:rPr>
        <w:t>.2 投标样品上必须标注“项目名称及项目编号、样品编号、样品名称 ”等信息。需 要安装的投标样品必须为安装完整的成品，由投标人自行组织安装。</w:t>
      </w:r>
    </w:p>
    <w:p w14:paraId="11E041A8">
      <w:pPr>
        <w:outlineLvl w:val="9"/>
        <w:rPr>
          <w:rFonts w:hint="default" w:ascii="Times New Roman" w:hAnsi="Times New Roman" w:eastAsia="宋体" w:cs="Times New Roman"/>
        </w:rPr>
      </w:pPr>
      <w:r>
        <w:rPr>
          <w:rFonts w:hint="eastAsia" w:cs="Times New Roman"/>
          <w:lang w:val="en-US" w:eastAsia="zh-CN"/>
        </w:rPr>
        <w:t>17</w:t>
      </w:r>
      <w:r>
        <w:rPr>
          <w:rFonts w:hint="default" w:ascii="Times New Roman" w:hAnsi="Times New Roman" w:eastAsia="宋体" w:cs="Times New Roman"/>
        </w:rPr>
        <w:t>.2.1 样品递交签到：</w:t>
      </w:r>
    </w:p>
    <w:p w14:paraId="1AC9B6DA">
      <w:pPr>
        <w:rPr>
          <w:rFonts w:hint="default" w:ascii="Times New Roman" w:hAnsi="Times New Roman" w:eastAsia="宋体" w:cs="Times New Roman"/>
        </w:rPr>
      </w:pPr>
      <w:r>
        <w:rPr>
          <w:rFonts w:hint="default" w:ascii="Times New Roman" w:hAnsi="Times New Roman" w:eastAsia="宋体" w:cs="Times New Roman"/>
        </w:rPr>
        <w:t>投标人授权人要求在本项目投标截止时间前，携带法定代表人证明书（盖公章）、法定 代表人授权委托书（盖公章）、授权委托人身份证原件和扫描件、样品清单（加盖公章）， 到达</w:t>
      </w:r>
      <w:r>
        <w:rPr>
          <w:rFonts w:hint="eastAsia" w:cs="Times New Roman"/>
          <w:lang w:eastAsia="zh-CN"/>
        </w:rPr>
        <w:t xml:space="preserve"> 深圳信德招标服务有限公司</w:t>
      </w:r>
      <w:r>
        <w:rPr>
          <w:rFonts w:hint="default" w:ascii="Times New Roman" w:hAnsi="Times New Roman" w:eastAsia="宋体" w:cs="Times New Roman"/>
        </w:rPr>
        <w:t>，按</w:t>
      </w:r>
      <w:r>
        <w:rPr>
          <w:rFonts w:hint="eastAsia" w:cs="Times New Roman"/>
          <w:lang w:eastAsia="zh-CN"/>
        </w:rPr>
        <w:t xml:space="preserve"> 深圳信德招标服务有限公司</w:t>
      </w:r>
      <w:r>
        <w:rPr>
          <w:rFonts w:hint="default" w:ascii="Times New Roman" w:hAnsi="Times New Roman" w:eastAsia="宋体" w:cs="Times New Roman"/>
        </w:rPr>
        <w:t>工作人员指引进行样品递交签 到。</w:t>
      </w:r>
    </w:p>
    <w:p w14:paraId="53BCCD95">
      <w:pPr>
        <w:rPr>
          <w:rFonts w:hint="default" w:ascii="Times New Roman" w:hAnsi="Times New Roman" w:eastAsia="宋体" w:cs="Times New Roman"/>
        </w:rPr>
      </w:pPr>
      <w:r>
        <w:rPr>
          <w:rFonts w:hint="default" w:ascii="Times New Roman" w:hAnsi="Times New Roman" w:eastAsia="宋体" w:cs="Times New Roman"/>
        </w:rPr>
        <w:t>特别注意事项：（1）上述资料提供不齐全的，不予签到；（2）本项目投标截止时间后，</w:t>
      </w:r>
    </w:p>
    <w:p w14:paraId="09DEE76D">
      <w:pPr>
        <w:rPr>
          <w:rFonts w:hint="default" w:ascii="Times New Roman" w:hAnsi="Times New Roman" w:eastAsia="宋体" w:cs="Times New Roman"/>
        </w:rPr>
      </w:pPr>
      <w:r>
        <w:rPr>
          <w:rFonts w:hint="default" w:ascii="Times New Roman" w:hAnsi="Times New Roman" w:eastAsia="宋体" w:cs="Times New Roman"/>
        </w:rPr>
        <w:t>不再受理签到；（3）未进行签到的，样品不予接收。</w:t>
      </w:r>
    </w:p>
    <w:p w14:paraId="681863FC">
      <w:pPr>
        <w:outlineLvl w:val="9"/>
        <w:rPr>
          <w:rFonts w:hint="default" w:ascii="Times New Roman" w:hAnsi="Times New Roman" w:eastAsia="宋体" w:cs="Times New Roman"/>
        </w:rPr>
      </w:pPr>
      <w:r>
        <w:rPr>
          <w:rFonts w:hint="eastAsia" w:cs="Times New Roman"/>
          <w:lang w:val="en-US" w:eastAsia="zh-CN"/>
        </w:rPr>
        <w:t>17</w:t>
      </w:r>
      <w:r>
        <w:rPr>
          <w:rFonts w:hint="default" w:ascii="Times New Roman" w:hAnsi="Times New Roman" w:eastAsia="宋体" w:cs="Times New Roman"/>
        </w:rPr>
        <w:t>.2.2 样品接收</w:t>
      </w:r>
    </w:p>
    <w:p w14:paraId="766852E0">
      <w:pPr>
        <w:rPr>
          <w:rFonts w:hint="default" w:ascii="Times New Roman" w:hAnsi="Times New Roman" w:eastAsia="宋体" w:cs="Times New Roman"/>
        </w:rPr>
      </w:pPr>
      <w:r>
        <w:rPr>
          <w:rFonts w:hint="default" w:ascii="Times New Roman" w:hAnsi="Times New Roman" w:eastAsia="宋体" w:cs="Times New Roman"/>
        </w:rPr>
        <w:t>本项目投标截止时间后进行投标样品接收。投标样品接收必须进行身份核对、样品核对、 登记确认、顺序编号。</w:t>
      </w:r>
    </w:p>
    <w:p w14:paraId="5D304421">
      <w:pPr>
        <w:rPr>
          <w:rFonts w:hint="default" w:ascii="Times New Roman" w:hAnsi="Times New Roman" w:eastAsia="宋体" w:cs="Times New Roman"/>
        </w:rPr>
      </w:pPr>
      <w:r>
        <w:rPr>
          <w:rFonts w:hint="default" w:ascii="Times New Roman" w:hAnsi="Times New Roman" w:eastAsia="宋体" w:cs="Times New Roman"/>
        </w:rPr>
        <w:t>(1)</w:t>
      </w:r>
      <w:r>
        <w:rPr>
          <w:rFonts w:hint="eastAsia" w:cs="Times New Roman"/>
          <w:lang w:eastAsia="zh-CN"/>
        </w:rPr>
        <w:t xml:space="preserve"> 深圳信德招标服务有限公司</w:t>
      </w:r>
      <w:r>
        <w:rPr>
          <w:rFonts w:hint="default" w:ascii="Times New Roman" w:hAnsi="Times New Roman" w:eastAsia="宋体" w:cs="Times New Roman"/>
        </w:rPr>
        <w:t>核对投标人授权委托人提供的“法定代表人证明书（盖公 章）、法定代表人授权委托书（盖公章）、授权委托人身份证原件和扫描件 ”。资料不齐全 的，不得接收投标样品。</w:t>
      </w:r>
    </w:p>
    <w:p w14:paraId="294FF4B5">
      <w:pPr>
        <w:rPr>
          <w:rFonts w:hint="default" w:ascii="Times New Roman" w:hAnsi="Times New Roman" w:eastAsia="宋体" w:cs="Times New Roman"/>
        </w:rPr>
      </w:pPr>
      <w:r>
        <w:rPr>
          <w:rFonts w:hint="default" w:ascii="Times New Roman" w:hAnsi="Times New Roman" w:eastAsia="宋体" w:cs="Times New Roman"/>
        </w:rPr>
        <w:t>（2）样品核对。</w:t>
      </w:r>
      <w:r>
        <w:rPr>
          <w:rFonts w:hint="eastAsia" w:cs="Times New Roman"/>
          <w:lang w:eastAsia="zh-CN"/>
        </w:rPr>
        <w:t xml:space="preserve"> 深圳信德招标服务有限公司</w:t>
      </w:r>
      <w:r>
        <w:rPr>
          <w:rFonts w:hint="default" w:ascii="Times New Roman" w:hAnsi="Times New Roman" w:eastAsia="宋体" w:cs="Times New Roman"/>
        </w:rPr>
        <w:t>工作人员将投标样品与投标人提供的《样品 清单》（盖公章）进行一一核对。有不一致的或损坏情况的，将要求投标人授权委托人在《样 品清单》上注明。</w:t>
      </w:r>
    </w:p>
    <w:p w14:paraId="5FE73CE0">
      <w:pPr>
        <w:rPr>
          <w:rFonts w:hint="default" w:ascii="Times New Roman" w:hAnsi="Times New Roman" w:eastAsia="宋体" w:cs="Times New Roman"/>
        </w:rPr>
      </w:pPr>
      <w:r>
        <w:rPr>
          <w:rFonts w:hint="default" w:ascii="Times New Roman" w:hAnsi="Times New Roman" w:eastAsia="宋体" w:cs="Times New Roman"/>
        </w:rPr>
        <w:t>（3）登记确认。在完成身份核对及样品核对后，投标人授权委托人必须在《样品接收 登记表》上登记确认。</w:t>
      </w:r>
    </w:p>
    <w:p w14:paraId="4167AF4E">
      <w:pPr>
        <w:rPr>
          <w:rFonts w:hint="default" w:ascii="Times New Roman" w:hAnsi="Times New Roman" w:eastAsia="宋体" w:cs="Times New Roman"/>
        </w:rPr>
      </w:pPr>
      <w:r>
        <w:rPr>
          <w:rFonts w:hint="default" w:ascii="Times New Roman" w:hAnsi="Times New Roman" w:eastAsia="宋体" w:cs="Times New Roman"/>
        </w:rPr>
        <w:t>（4）顺序编号。</w:t>
      </w:r>
      <w:r>
        <w:rPr>
          <w:rFonts w:hint="eastAsia" w:cs="Times New Roman"/>
          <w:lang w:eastAsia="zh-CN"/>
        </w:rPr>
        <w:t xml:space="preserve"> 深圳信德招标服务有限公司</w:t>
      </w:r>
      <w:r>
        <w:rPr>
          <w:rFonts w:hint="default" w:ascii="Times New Roman" w:hAnsi="Times New Roman" w:eastAsia="宋体" w:cs="Times New Roman"/>
        </w:rPr>
        <w:t>工作人员按投标样品接收的先后顺序进行编 号。</w:t>
      </w:r>
    </w:p>
    <w:p w14:paraId="462BB1CE">
      <w:pPr>
        <w:rPr>
          <w:rFonts w:hint="default" w:ascii="Times New Roman" w:hAnsi="Times New Roman" w:eastAsia="宋体" w:cs="Times New Roman"/>
        </w:rPr>
      </w:pPr>
      <w:r>
        <w:rPr>
          <w:rFonts w:hint="eastAsia" w:cs="Times New Roman"/>
          <w:lang w:val="en-US" w:eastAsia="zh-CN"/>
        </w:rPr>
        <w:t>17</w:t>
      </w:r>
      <w:r>
        <w:rPr>
          <w:rFonts w:hint="default" w:ascii="Times New Roman" w:hAnsi="Times New Roman" w:eastAsia="宋体" w:cs="Times New Roman"/>
        </w:rPr>
        <w:t xml:space="preserve">.3 </w:t>
      </w:r>
      <w:r>
        <w:rPr>
          <w:rFonts w:hint="eastAsia" w:cs="Times New Roman"/>
          <w:lang w:eastAsia="zh-CN"/>
        </w:rPr>
        <w:t xml:space="preserve"> 深圳信德招标服务有限公司</w:t>
      </w:r>
      <w:r>
        <w:rPr>
          <w:rFonts w:hint="default" w:ascii="Times New Roman" w:hAnsi="Times New Roman" w:eastAsia="宋体" w:cs="Times New Roman"/>
        </w:rPr>
        <w:t>工作人员负责组织投标样品摆样，指引投标人授权委托 人将投标样品搬运到指定地点摆放、拆除包装，按要求摆放整齐。</w:t>
      </w:r>
    </w:p>
    <w:p w14:paraId="4A7C6F55">
      <w:pPr>
        <w:jc w:val="left"/>
        <w:rPr>
          <w:rFonts w:hint="default" w:ascii="Times New Roman" w:hAnsi="Times New Roman" w:eastAsia="宋体" w:cs="Times New Roman"/>
        </w:rPr>
      </w:pPr>
      <w:r>
        <w:rPr>
          <w:rFonts w:hint="eastAsia" w:cs="Times New Roman"/>
          <w:lang w:val="en-US" w:eastAsia="zh-CN"/>
        </w:rPr>
        <w:t>17</w:t>
      </w:r>
      <w:r>
        <w:rPr>
          <w:rFonts w:hint="default" w:ascii="Times New Roman" w:hAnsi="Times New Roman" w:eastAsia="宋体" w:cs="Times New Roman"/>
        </w:rPr>
        <w:t>.4 样品的退回：（1）未中选的投标人投标样品，</w:t>
      </w:r>
      <w:r>
        <w:rPr>
          <w:rFonts w:hint="eastAsia" w:cs="Times New Roman"/>
          <w:lang w:eastAsia="zh-CN"/>
        </w:rPr>
        <w:t xml:space="preserve"> 深圳信德招标服务有限公司</w:t>
      </w:r>
      <w:r>
        <w:rPr>
          <w:rFonts w:hint="default" w:ascii="Times New Roman" w:hAnsi="Times New Roman" w:eastAsia="宋体" w:cs="Times New Roman"/>
        </w:rPr>
        <w:t>工作人员 将按规定通知其投标人授权委托人在项目完成评审后的三天内取回。（2） 中选的投标人投 标样品，</w:t>
      </w:r>
      <w:r>
        <w:rPr>
          <w:rFonts w:hint="eastAsia" w:cs="Times New Roman"/>
          <w:lang w:eastAsia="zh-CN"/>
        </w:rPr>
        <w:t xml:space="preserve"> 深圳信德招标服务有限公司</w:t>
      </w:r>
      <w:r>
        <w:rPr>
          <w:rFonts w:hint="default" w:ascii="Times New Roman" w:hAnsi="Times New Roman" w:eastAsia="宋体" w:cs="Times New Roman"/>
        </w:rPr>
        <w:t>工作人员将按规定在中选通知书发出后通知采购人代表三 天内取走。投标样品移交时，</w:t>
      </w:r>
      <w:r>
        <w:rPr>
          <w:rFonts w:hint="eastAsia" w:cs="Times New Roman"/>
          <w:lang w:eastAsia="zh-CN"/>
        </w:rPr>
        <w:t xml:space="preserve"> 深圳信德招标服务有限公司</w:t>
      </w:r>
      <w:r>
        <w:rPr>
          <w:rFonts w:hint="default" w:ascii="Times New Roman" w:hAnsi="Times New Roman" w:eastAsia="宋体" w:cs="Times New Roman"/>
        </w:rPr>
        <w:t>工作人员将再次核对投标人授权委托 人或采购人代表身份、核对《样品清单》，签字确认后并取走样品。</w:t>
      </w:r>
    </w:p>
    <w:p w14:paraId="185B672E">
      <w:pPr>
        <w:rPr>
          <w:rFonts w:hint="default" w:ascii="Times New Roman" w:hAnsi="Times New Roman" w:eastAsia="宋体" w:cs="Times New Roman"/>
        </w:rPr>
      </w:pPr>
      <w:r>
        <w:rPr>
          <w:rFonts w:hint="eastAsia" w:cs="Times New Roman"/>
          <w:lang w:val="en-US" w:eastAsia="zh-CN"/>
        </w:rPr>
        <w:t>17</w:t>
      </w:r>
      <w:r>
        <w:rPr>
          <w:rFonts w:hint="default" w:ascii="Times New Roman" w:hAnsi="Times New Roman" w:eastAsia="宋体" w:cs="Times New Roman"/>
        </w:rPr>
        <w:t>.5 投标样品未能及时退回的，</w:t>
      </w:r>
      <w:r>
        <w:rPr>
          <w:rFonts w:hint="eastAsia" w:cs="Times New Roman"/>
          <w:lang w:eastAsia="zh-CN"/>
        </w:rPr>
        <w:t xml:space="preserve"> 深圳信德招标服务有限公司</w:t>
      </w:r>
      <w:r>
        <w:rPr>
          <w:rFonts w:hint="default" w:ascii="Times New Roman" w:hAnsi="Times New Roman" w:eastAsia="宋体" w:cs="Times New Roman"/>
        </w:rPr>
        <w:t>工作人员将及时存放到样品 室，并发函或电话敦促相关单位取回。经敦促仍未能按规定取回的，视同投标人或采购人放 弃取回，</w:t>
      </w:r>
      <w:r>
        <w:rPr>
          <w:rFonts w:hint="eastAsia" w:cs="Times New Roman"/>
          <w:lang w:eastAsia="zh-CN"/>
        </w:rPr>
        <w:t xml:space="preserve"> 深圳信德招标服务有限公司</w:t>
      </w:r>
      <w:r>
        <w:rPr>
          <w:rFonts w:hint="default" w:ascii="Times New Roman" w:hAnsi="Times New Roman" w:eastAsia="宋体" w:cs="Times New Roman"/>
        </w:rPr>
        <w:t>将定期清理。</w:t>
      </w:r>
    </w:p>
    <w:p w14:paraId="1DB5B2B6">
      <w:pPr>
        <w:outlineLvl w:val="1"/>
        <w:rPr>
          <w:rFonts w:hint="default" w:ascii="Times New Roman" w:hAnsi="Times New Roman" w:eastAsia="宋体" w:cs="Times New Roman"/>
        </w:rPr>
      </w:pPr>
      <w:r>
        <w:rPr>
          <w:rFonts w:hint="eastAsia" w:cs="Times New Roman"/>
          <w:lang w:val="en-US" w:eastAsia="zh-CN"/>
        </w:rPr>
        <w:t>18</w:t>
      </w:r>
      <w:r>
        <w:rPr>
          <w:rFonts w:hint="default" w:ascii="Times New Roman" w:hAnsi="Times New Roman" w:eastAsia="宋体" w:cs="Times New Roman"/>
        </w:rPr>
        <w:t>．投标文件的修改和撤销</w:t>
      </w:r>
    </w:p>
    <w:p w14:paraId="4988BD9C">
      <w:pPr>
        <w:outlineLvl w:val="9"/>
        <w:rPr>
          <w:rFonts w:hint="default" w:ascii="Times New Roman" w:hAnsi="Times New Roman" w:eastAsia="宋体" w:cs="Times New Roman"/>
        </w:rPr>
      </w:pPr>
      <w:r>
        <w:rPr>
          <w:rFonts w:hint="eastAsia" w:cs="Times New Roman"/>
          <w:lang w:val="en-US" w:eastAsia="zh-CN"/>
        </w:rPr>
        <w:t>18</w:t>
      </w:r>
      <w:r>
        <w:rPr>
          <w:rFonts w:hint="default" w:ascii="Times New Roman" w:hAnsi="Times New Roman" w:eastAsia="宋体" w:cs="Times New Roman"/>
        </w:rPr>
        <w:t>.1 投标截止时间以后不得修改投标文件。</w:t>
      </w:r>
    </w:p>
    <w:p w14:paraId="5CB7841D">
      <w:pPr>
        <w:rPr>
          <w:rFonts w:hint="default" w:ascii="Times New Roman" w:hAnsi="Times New Roman" w:eastAsia="宋体" w:cs="Times New Roman"/>
        </w:rPr>
      </w:pPr>
      <w:r>
        <w:rPr>
          <w:rFonts w:hint="eastAsia" w:cs="Times New Roman"/>
          <w:lang w:val="en-US" w:eastAsia="zh-CN"/>
        </w:rPr>
        <w:t>18</w:t>
      </w:r>
      <w:r>
        <w:rPr>
          <w:rFonts w:hint="default" w:ascii="Times New Roman" w:hAnsi="Times New Roman" w:eastAsia="宋体" w:cs="Times New Roman"/>
        </w:rPr>
        <w:t>.2 从投标截止期至投标人在投标书中确定的投标有效期之间的这段时间内，投标人 不得撤回其投标。</w:t>
      </w:r>
    </w:p>
    <w:p w14:paraId="5A59B98F">
      <w:pPr>
        <w:rPr>
          <w:rFonts w:hint="default" w:ascii="Times New Roman" w:hAnsi="Times New Roman" w:eastAsia="宋体" w:cs="Times New Roman"/>
        </w:rPr>
      </w:pPr>
      <w:r>
        <w:rPr>
          <w:rFonts w:hint="eastAsia" w:cs="Times New Roman"/>
          <w:lang w:val="en-US" w:eastAsia="zh-CN"/>
        </w:rPr>
        <w:t>18</w:t>
      </w:r>
      <w:r>
        <w:rPr>
          <w:rFonts w:hint="default" w:ascii="Times New Roman" w:hAnsi="Times New Roman" w:eastAsia="宋体" w:cs="Times New Roman"/>
        </w:rPr>
        <w:t xml:space="preserve">.3 </w:t>
      </w:r>
      <w:r>
        <w:rPr>
          <w:rFonts w:hint="eastAsia" w:cs="Times New Roman"/>
          <w:lang w:eastAsia="zh-CN"/>
        </w:rPr>
        <w:t xml:space="preserve"> 深圳信德招标服务有限公司</w:t>
      </w:r>
      <w:r>
        <w:rPr>
          <w:rFonts w:hint="default" w:ascii="Times New Roman" w:hAnsi="Times New Roman" w:eastAsia="宋体" w:cs="Times New Roman"/>
        </w:rPr>
        <w:t>不退还投标文件，另有规定的除外。</w:t>
      </w:r>
    </w:p>
    <w:p w14:paraId="4A8A04BC">
      <w:pPr>
        <w:jc w:val="center"/>
        <w:outlineLvl w:val="0"/>
        <w:rPr>
          <w:rFonts w:hint="default" w:ascii="Times New Roman" w:hAnsi="Times New Roman" w:eastAsia="宋体" w:cs="Times New Roman"/>
          <w:b/>
          <w:bCs/>
          <w:sz w:val="32"/>
          <w:szCs w:val="32"/>
        </w:rPr>
      </w:pPr>
      <w:bookmarkStart w:id="97" w:name="bookmark97"/>
      <w:bookmarkEnd w:id="97"/>
      <w:bookmarkStart w:id="98" w:name="bookmark96"/>
      <w:bookmarkEnd w:id="98"/>
      <w:r>
        <w:rPr>
          <w:rFonts w:hint="default" w:ascii="Times New Roman" w:hAnsi="Times New Roman" w:eastAsia="宋体" w:cs="Times New Roman"/>
          <w:b/>
          <w:bCs/>
          <w:sz w:val="32"/>
          <w:szCs w:val="32"/>
        </w:rPr>
        <w:t>第五章 开标</w:t>
      </w:r>
    </w:p>
    <w:p w14:paraId="69C9613B">
      <w:pPr>
        <w:outlineLvl w:val="1"/>
        <w:rPr>
          <w:rFonts w:hint="default" w:ascii="Times New Roman" w:hAnsi="Times New Roman" w:eastAsia="宋体" w:cs="Times New Roman"/>
        </w:rPr>
      </w:pPr>
      <w:r>
        <w:rPr>
          <w:rFonts w:hint="eastAsia" w:cs="Times New Roman"/>
          <w:lang w:val="en-US" w:eastAsia="zh-CN"/>
        </w:rPr>
        <w:t>19</w:t>
      </w:r>
      <w:r>
        <w:rPr>
          <w:rFonts w:hint="default" w:ascii="Times New Roman" w:hAnsi="Times New Roman" w:eastAsia="宋体" w:cs="Times New Roman"/>
        </w:rPr>
        <w:t>．开标</w:t>
      </w:r>
    </w:p>
    <w:p w14:paraId="77E4CBB3">
      <w:pPr>
        <w:rPr>
          <w:rFonts w:hint="default" w:ascii="Times New Roman" w:hAnsi="Times New Roman" w:eastAsia="宋体" w:cs="Times New Roman"/>
        </w:rPr>
      </w:pPr>
      <w:r>
        <w:rPr>
          <w:rFonts w:hint="eastAsia" w:cs="Times New Roman"/>
          <w:lang w:val="en-US" w:eastAsia="zh-CN"/>
        </w:rPr>
        <w:t>19</w:t>
      </w:r>
      <w:r>
        <w:rPr>
          <w:rFonts w:hint="default" w:ascii="Times New Roman" w:hAnsi="Times New Roman" w:eastAsia="宋体" w:cs="Times New Roman"/>
        </w:rPr>
        <w:t xml:space="preserve">.1 </w:t>
      </w:r>
      <w:r>
        <w:rPr>
          <w:rFonts w:hint="eastAsia" w:cs="Times New Roman"/>
          <w:lang w:eastAsia="zh-CN"/>
        </w:rPr>
        <w:t xml:space="preserve"> 深圳信德招标服务有限公司</w:t>
      </w:r>
      <w:r>
        <w:rPr>
          <w:rFonts w:hint="default" w:ascii="Times New Roman" w:hAnsi="Times New Roman" w:eastAsia="宋体" w:cs="Times New Roman"/>
        </w:rPr>
        <w:t>将在投标截止时间后，对投标文件进行开标。</w:t>
      </w:r>
      <w:bookmarkStart w:id="99" w:name="bookmark99"/>
      <w:bookmarkEnd w:id="99"/>
      <w:bookmarkStart w:id="100" w:name="bookmark98"/>
      <w:bookmarkEnd w:id="100"/>
    </w:p>
    <w:p w14:paraId="360C7A58">
      <w:pPr>
        <w:rPr>
          <w:rFonts w:hint="default" w:ascii="Times New Roman" w:hAnsi="Times New Roman" w:eastAsia="宋体" w:cs="Times New Roman"/>
        </w:rPr>
      </w:pPr>
    </w:p>
    <w:p w14:paraId="75A6A30A">
      <w:pPr>
        <w:jc w:val="center"/>
        <w:rPr>
          <w:rFonts w:hint="default" w:ascii="Times New Roman" w:hAnsi="Times New Roman" w:eastAsia="宋体" w:cs="Times New Roman"/>
          <w:b/>
          <w:bCs/>
          <w:sz w:val="32"/>
          <w:szCs w:val="32"/>
        </w:rPr>
      </w:pPr>
      <w:r>
        <w:rPr>
          <w:rFonts w:hint="default" w:ascii="Times New Roman" w:hAnsi="Times New Roman" w:eastAsia="宋体" w:cs="Times New Roman"/>
          <w:b/>
          <w:bCs/>
          <w:sz w:val="32"/>
          <w:szCs w:val="32"/>
        </w:rPr>
        <w:t>第六章 评审要求</w:t>
      </w:r>
    </w:p>
    <w:p w14:paraId="0E3C3455">
      <w:pPr>
        <w:outlineLvl w:val="1"/>
        <w:rPr>
          <w:rFonts w:hint="default" w:ascii="Times New Roman" w:hAnsi="Times New Roman" w:eastAsia="宋体" w:cs="Times New Roman"/>
        </w:rPr>
      </w:pPr>
      <w:r>
        <w:rPr>
          <w:rFonts w:hint="eastAsia" w:cs="Times New Roman"/>
          <w:lang w:val="en-US" w:eastAsia="zh-CN"/>
        </w:rPr>
        <w:t>20</w:t>
      </w:r>
      <w:r>
        <w:rPr>
          <w:rFonts w:hint="default" w:ascii="Times New Roman" w:hAnsi="Times New Roman" w:eastAsia="宋体" w:cs="Times New Roman"/>
        </w:rPr>
        <w:t>．</w:t>
      </w:r>
      <w:r>
        <w:rPr>
          <w:rFonts w:hint="default" w:ascii="Times New Roman" w:hAnsi="Times New Roman" w:eastAsia="宋体" w:cs="Times New Roman"/>
          <w:lang w:eastAsia="zh-CN"/>
        </w:rPr>
        <w:t>评审委员会</w:t>
      </w:r>
      <w:r>
        <w:rPr>
          <w:rFonts w:hint="default" w:ascii="Times New Roman" w:hAnsi="Times New Roman" w:eastAsia="宋体" w:cs="Times New Roman"/>
        </w:rPr>
        <w:t>组成</w:t>
      </w:r>
    </w:p>
    <w:p w14:paraId="7BADC02B">
      <w:pPr>
        <w:rPr>
          <w:rFonts w:hint="default" w:ascii="Times New Roman" w:hAnsi="Times New Roman" w:eastAsia="宋体" w:cs="Times New Roman"/>
        </w:rPr>
      </w:pPr>
      <w:r>
        <w:rPr>
          <w:rFonts w:hint="default" w:ascii="Times New Roman" w:hAnsi="Times New Roman" w:eastAsia="宋体" w:cs="Times New Roman"/>
        </w:rPr>
        <w:t>2</w:t>
      </w:r>
      <w:r>
        <w:rPr>
          <w:rFonts w:hint="eastAsia" w:cs="Times New Roman"/>
          <w:lang w:val="en-US" w:eastAsia="zh-CN"/>
        </w:rPr>
        <w:t>0</w:t>
      </w:r>
      <w:r>
        <w:rPr>
          <w:rFonts w:hint="default" w:ascii="Times New Roman" w:hAnsi="Times New Roman" w:eastAsia="宋体" w:cs="Times New Roman"/>
        </w:rPr>
        <w:t>.1 开标结束后召开评审会议，</w:t>
      </w:r>
      <w:r>
        <w:rPr>
          <w:rFonts w:hint="default" w:ascii="Times New Roman" w:hAnsi="Times New Roman" w:eastAsia="宋体" w:cs="Times New Roman"/>
          <w:lang w:eastAsia="zh-CN"/>
        </w:rPr>
        <w:t>评审委员会</w:t>
      </w:r>
      <w:r>
        <w:rPr>
          <w:rFonts w:hint="default" w:ascii="Times New Roman" w:hAnsi="Times New Roman" w:eastAsia="宋体" w:cs="Times New Roman"/>
        </w:rPr>
        <w:t>会由</w:t>
      </w:r>
      <w:r>
        <w:rPr>
          <w:rFonts w:hint="eastAsia" w:cs="Times New Roman"/>
          <w:lang w:eastAsia="zh-CN"/>
        </w:rPr>
        <w:t xml:space="preserve"> 深圳信德招标服务有限公司</w:t>
      </w:r>
      <w:r>
        <w:rPr>
          <w:rFonts w:hint="default" w:ascii="Times New Roman" w:hAnsi="Times New Roman" w:eastAsia="宋体" w:cs="Times New Roman"/>
        </w:rPr>
        <w:t>依法组建，负 责评审活动。</w:t>
      </w:r>
    </w:p>
    <w:p w14:paraId="49CBCB37">
      <w:pPr>
        <w:rPr>
          <w:rFonts w:hint="default" w:ascii="Times New Roman" w:hAnsi="Times New Roman" w:eastAsia="宋体" w:cs="Times New Roman"/>
        </w:rPr>
      </w:pPr>
      <w:r>
        <w:rPr>
          <w:rFonts w:hint="default" w:ascii="Times New Roman" w:hAnsi="Times New Roman" w:eastAsia="宋体" w:cs="Times New Roman"/>
        </w:rPr>
        <w:t>采购人代表须持本单位签发的《评审授权书》参加评审。</w:t>
      </w:r>
    </w:p>
    <w:p w14:paraId="470A559A">
      <w:pPr>
        <w:rPr>
          <w:rFonts w:hint="default" w:ascii="Times New Roman" w:hAnsi="Times New Roman" w:eastAsia="宋体" w:cs="Times New Roman"/>
        </w:rPr>
      </w:pPr>
      <w:r>
        <w:rPr>
          <w:rFonts w:hint="default" w:ascii="Times New Roman" w:hAnsi="Times New Roman" w:eastAsia="宋体" w:cs="Times New Roman"/>
        </w:rPr>
        <w:t>采购单位无代表参与评审，应在开标前一天提交《采购单位不派评委参与项目评审承诺 书》给</w:t>
      </w:r>
      <w:r>
        <w:rPr>
          <w:rFonts w:hint="eastAsia" w:cs="Times New Roman"/>
          <w:lang w:eastAsia="zh-CN"/>
        </w:rPr>
        <w:t xml:space="preserve"> 深圳信德招标服务有限公司</w:t>
      </w:r>
      <w:r>
        <w:rPr>
          <w:rFonts w:hint="default" w:ascii="Times New Roman" w:hAnsi="Times New Roman" w:eastAsia="宋体" w:cs="Times New Roman"/>
        </w:rPr>
        <w:t>。</w:t>
      </w:r>
    </w:p>
    <w:p w14:paraId="7B3A5A6B">
      <w:pPr>
        <w:outlineLvl w:val="9"/>
        <w:rPr>
          <w:rFonts w:hint="default" w:ascii="Times New Roman" w:hAnsi="Times New Roman" w:eastAsia="宋体" w:cs="Times New Roman"/>
        </w:rPr>
      </w:pPr>
      <w:r>
        <w:rPr>
          <w:rFonts w:hint="default" w:ascii="Times New Roman" w:hAnsi="Times New Roman" w:eastAsia="宋体" w:cs="Times New Roman"/>
        </w:rPr>
        <w:t>2</w:t>
      </w:r>
      <w:r>
        <w:rPr>
          <w:rFonts w:hint="eastAsia" w:cs="Times New Roman"/>
          <w:lang w:val="en-US" w:eastAsia="zh-CN"/>
        </w:rPr>
        <w:t>0</w:t>
      </w:r>
      <w:r>
        <w:rPr>
          <w:rFonts w:hint="default" w:ascii="Times New Roman" w:hAnsi="Times New Roman" w:eastAsia="宋体" w:cs="Times New Roman"/>
        </w:rPr>
        <w:t>.2 评审定标应当遵循公平、公正、科学、择优的原则。</w:t>
      </w:r>
    </w:p>
    <w:p w14:paraId="75698D40">
      <w:pPr>
        <w:rPr>
          <w:rFonts w:hint="default" w:ascii="Times New Roman" w:hAnsi="Times New Roman" w:eastAsia="宋体" w:cs="Times New Roman"/>
        </w:rPr>
      </w:pPr>
      <w:r>
        <w:rPr>
          <w:rFonts w:hint="default" w:ascii="Times New Roman" w:hAnsi="Times New Roman" w:eastAsia="宋体" w:cs="Times New Roman"/>
        </w:rPr>
        <w:t>2</w:t>
      </w:r>
      <w:r>
        <w:rPr>
          <w:rFonts w:hint="eastAsia" w:cs="Times New Roman"/>
          <w:lang w:val="en-US" w:eastAsia="zh-CN"/>
        </w:rPr>
        <w:t>0</w:t>
      </w:r>
      <w:r>
        <w:rPr>
          <w:rFonts w:hint="default" w:ascii="Times New Roman" w:hAnsi="Times New Roman" w:eastAsia="宋体" w:cs="Times New Roman"/>
        </w:rPr>
        <w:t>.3 评审活动依法进行，任何单位和个人不得非法干预评审过程和结果。</w:t>
      </w:r>
    </w:p>
    <w:p w14:paraId="54A04B75">
      <w:pPr>
        <w:rPr>
          <w:rFonts w:hint="default" w:ascii="Times New Roman" w:hAnsi="Times New Roman" w:eastAsia="宋体" w:cs="Times New Roman"/>
        </w:rPr>
      </w:pPr>
      <w:r>
        <w:rPr>
          <w:rFonts w:hint="default" w:ascii="Times New Roman" w:hAnsi="Times New Roman" w:eastAsia="宋体" w:cs="Times New Roman"/>
        </w:rPr>
        <w:t>2</w:t>
      </w:r>
      <w:r>
        <w:rPr>
          <w:rFonts w:hint="eastAsia" w:cs="Times New Roman"/>
          <w:lang w:val="en-US" w:eastAsia="zh-CN"/>
        </w:rPr>
        <w:t>0</w:t>
      </w:r>
      <w:r>
        <w:rPr>
          <w:rFonts w:hint="default" w:ascii="Times New Roman" w:hAnsi="Times New Roman" w:eastAsia="宋体" w:cs="Times New Roman"/>
        </w:rPr>
        <w:t>.4 评审过程中不允许违背评审程序或采用采购文件未载明的评审方法或评审因素进 行评审。</w:t>
      </w:r>
    </w:p>
    <w:p w14:paraId="5BE3F970">
      <w:pPr>
        <w:rPr>
          <w:rFonts w:hint="default" w:ascii="Times New Roman" w:hAnsi="Times New Roman" w:eastAsia="宋体" w:cs="Times New Roman"/>
        </w:rPr>
      </w:pPr>
      <w:r>
        <w:rPr>
          <w:rFonts w:hint="default" w:ascii="Times New Roman" w:hAnsi="Times New Roman" w:eastAsia="宋体" w:cs="Times New Roman"/>
        </w:rPr>
        <w:t>2</w:t>
      </w:r>
      <w:r>
        <w:rPr>
          <w:rFonts w:hint="eastAsia" w:cs="Times New Roman"/>
          <w:lang w:val="en-US" w:eastAsia="zh-CN"/>
        </w:rPr>
        <w:t>0</w:t>
      </w:r>
      <w:r>
        <w:rPr>
          <w:rFonts w:hint="default" w:ascii="Times New Roman" w:hAnsi="Times New Roman" w:eastAsia="宋体" w:cs="Times New Roman"/>
        </w:rPr>
        <w:t>.5 开标后，直到签订合同为止，凡属于对投标文件的审查、澄清、评价和比较的有 关资料以及中选候选人的推荐情况、与评审有关的其他任何情况均严格保密。</w:t>
      </w:r>
    </w:p>
    <w:p w14:paraId="69A47CFB">
      <w:pPr>
        <w:outlineLvl w:val="1"/>
        <w:rPr>
          <w:rFonts w:hint="default" w:ascii="Times New Roman" w:hAnsi="Times New Roman" w:eastAsia="宋体" w:cs="Times New Roman"/>
        </w:rPr>
      </w:pPr>
      <w:r>
        <w:rPr>
          <w:rFonts w:hint="default" w:ascii="Times New Roman" w:hAnsi="Times New Roman" w:eastAsia="宋体" w:cs="Times New Roman"/>
        </w:rPr>
        <w:t>2</w:t>
      </w:r>
      <w:r>
        <w:rPr>
          <w:rFonts w:hint="eastAsia" w:cs="Times New Roman"/>
          <w:lang w:val="en-US" w:eastAsia="zh-CN"/>
        </w:rPr>
        <w:t>1</w:t>
      </w:r>
      <w:r>
        <w:rPr>
          <w:rFonts w:hint="default" w:ascii="Times New Roman" w:hAnsi="Times New Roman" w:eastAsia="宋体" w:cs="Times New Roman"/>
        </w:rPr>
        <w:t>．向</w:t>
      </w:r>
      <w:r>
        <w:rPr>
          <w:rFonts w:hint="default" w:ascii="Times New Roman" w:hAnsi="Times New Roman" w:eastAsia="宋体" w:cs="Times New Roman"/>
          <w:lang w:eastAsia="zh-CN"/>
        </w:rPr>
        <w:t>评审委员会</w:t>
      </w:r>
      <w:r>
        <w:rPr>
          <w:rFonts w:hint="default" w:ascii="Times New Roman" w:hAnsi="Times New Roman" w:eastAsia="宋体" w:cs="Times New Roman"/>
        </w:rPr>
        <w:t>提供的资料</w:t>
      </w:r>
    </w:p>
    <w:p w14:paraId="3B46C9A1">
      <w:pPr>
        <w:rPr>
          <w:rFonts w:hint="default" w:ascii="Times New Roman" w:hAnsi="Times New Roman" w:eastAsia="宋体" w:cs="Times New Roman"/>
        </w:rPr>
      </w:pPr>
      <w:r>
        <w:rPr>
          <w:rFonts w:hint="default" w:ascii="Times New Roman" w:hAnsi="Times New Roman" w:eastAsia="宋体" w:cs="Times New Roman"/>
        </w:rPr>
        <w:t>2</w:t>
      </w:r>
      <w:r>
        <w:rPr>
          <w:rFonts w:hint="eastAsia" w:cs="Times New Roman"/>
          <w:lang w:val="en-US" w:eastAsia="zh-CN"/>
        </w:rPr>
        <w:t>1</w:t>
      </w:r>
      <w:r>
        <w:rPr>
          <w:rFonts w:hint="default" w:ascii="Times New Roman" w:hAnsi="Times New Roman" w:eastAsia="宋体" w:cs="Times New Roman"/>
        </w:rPr>
        <w:t>.1 公开发布的采购文件，包括图纸、服务清单、答疑文件等；</w:t>
      </w:r>
    </w:p>
    <w:p w14:paraId="00361623">
      <w:pPr>
        <w:outlineLvl w:val="9"/>
        <w:rPr>
          <w:rFonts w:hint="default" w:ascii="Times New Roman" w:hAnsi="Times New Roman" w:eastAsia="宋体" w:cs="Times New Roman"/>
        </w:rPr>
      </w:pPr>
      <w:r>
        <w:rPr>
          <w:rFonts w:hint="default" w:ascii="Times New Roman" w:hAnsi="Times New Roman" w:eastAsia="宋体" w:cs="Times New Roman"/>
        </w:rPr>
        <w:t>2</w:t>
      </w:r>
      <w:r>
        <w:rPr>
          <w:rFonts w:hint="eastAsia" w:cs="Times New Roman"/>
          <w:lang w:val="en-US" w:eastAsia="zh-CN"/>
        </w:rPr>
        <w:t>1</w:t>
      </w:r>
      <w:r>
        <w:rPr>
          <w:rFonts w:hint="default" w:ascii="Times New Roman" w:hAnsi="Times New Roman" w:eastAsia="宋体" w:cs="Times New Roman"/>
        </w:rPr>
        <w:t>.2 其他评审必须的资料。</w:t>
      </w:r>
    </w:p>
    <w:p w14:paraId="218CEB1F">
      <w:pPr>
        <w:rPr>
          <w:rFonts w:hint="default" w:ascii="Times New Roman" w:hAnsi="Times New Roman" w:eastAsia="宋体" w:cs="Times New Roman"/>
        </w:rPr>
      </w:pPr>
      <w:r>
        <w:rPr>
          <w:rFonts w:hint="default" w:ascii="Times New Roman" w:hAnsi="Times New Roman" w:eastAsia="宋体" w:cs="Times New Roman"/>
        </w:rPr>
        <w:t>2</w:t>
      </w:r>
      <w:r>
        <w:rPr>
          <w:rFonts w:hint="eastAsia" w:cs="Times New Roman"/>
          <w:lang w:val="en-US" w:eastAsia="zh-CN"/>
        </w:rPr>
        <w:t>1</w:t>
      </w:r>
      <w:r>
        <w:rPr>
          <w:rFonts w:hint="default" w:ascii="Times New Roman" w:hAnsi="Times New Roman" w:eastAsia="宋体" w:cs="Times New Roman"/>
        </w:rPr>
        <w:t xml:space="preserve">.3 </w:t>
      </w:r>
      <w:r>
        <w:rPr>
          <w:rFonts w:hint="default" w:ascii="Times New Roman" w:hAnsi="Times New Roman" w:eastAsia="宋体" w:cs="Times New Roman"/>
          <w:lang w:eastAsia="zh-CN"/>
        </w:rPr>
        <w:t>评审委员会</w:t>
      </w:r>
      <w:r>
        <w:rPr>
          <w:rFonts w:hint="default" w:ascii="Times New Roman" w:hAnsi="Times New Roman" w:eastAsia="宋体" w:cs="Times New Roman"/>
        </w:rPr>
        <w:t>应当认真研究采购文件，至少应了解熟悉以下内容：</w:t>
      </w:r>
    </w:p>
    <w:p w14:paraId="5FB05C3C">
      <w:pPr>
        <w:rPr>
          <w:rFonts w:hint="default" w:ascii="Times New Roman" w:hAnsi="Times New Roman" w:eastAsia="宋体" w:cs="Times New Roman"/>
        </w:rPr>
      </w:pPr>
      <w:r>
        <w:rPr>
          <w:rFonts w:hint="default" w:ascii="Times New Roman" w:hAnsi="Times New Roman" w:eastAsia="宋体" w:cs="Times New Roman"/>
        </w:rPr>
        <w:t>（1）采购的目的；</w:t>
      </w:r>
    </w:p>
    <w:p w14:paraId="26D36353">
      <w:pPr>
        <w:rPr>
          <w:rFonts w:hint="default" w:ascii="Times New Roman" w:hAnsi="Times New Roman" w:eastAsia="宋体" w:cs="Times New Roman"/>
        </w:rPr>
      </w:pPr>
      <w:r>
        <w:rPr>
          <w:rFonts w:hint="default" w:ascii="Times New Roman" w:hAnsi="Times New Roman" w:eastAsia="宋体" w:cs="Times New Roman"/>
        </w:rPr>
        <w:t>（2）采购项目需求的范围和性质；</w:t>
      </w:r>
    </w:p>
    <w:p w14:paraId="286817D1">
      <w:pPr>
        <w:rPr>
          <w:rFonts w:hint="default" w:ascii="Times New Roman" w:hAnsi="Times New Roman" w:eastAsia="宋体" w:cs="Times New Roman"/>
        </w:rPr>
      </w:pPr>
      <w:r>
        <w:rPr>
          <w:rFonts w:hint="default" w:ascii="Times New Roman" w:hAnsi="Times New Roman" w:eastAsia="宋体" w:cs="Times New Roman"/>
        </w:rPr>
        <w:t>（3）采购文件规定的投标人的资格、财政预算限额、商务条款；</w:t>
      </w:r>
    </w:p>
    <w:p w14:paraId="22893C9C">
      <w:pPr>
        <w:rPr>
          <w:rFonts w:hint="default" w:ascii="Times New Roman" w:hAnsi="Times New Roman" w:eastAsia="宋体" w:cs="Times New Roman"/>
        </w:rPr>
      </w:pPr>
      <w:r>
        <w:rPr>
          <w:rFonts w:hint="default" w:ascii="Times New Roman" w:hAnsi="Times New Roman" w:eastAsia="宋体" w:cs="Times New Roman"/>
        </w:rPr>
        <w:t>（4）采购文件规定的评审程序、评审方法和评审因素；</w:t>
      </w:r>
    </w:p>
    <w:p w14:paraId="37D68B4B">
      <w:pPr>
        <w:rPr>
          <w:rFonts w:hint="default" w:ascii="Times New Roman" w:hAnsi="Times New Roman" w:eastAsia="宋体" w:cs="Times New Roman"/>
        </w:rPr>
      </w:pPr>
      <w:r>
        <w:rPr>
          <w:rFonts w:hint="default" w:ascii="Times New Roman" w:hAnsi="Times New Roman" w:eastAsia="宋体" w:cs="Times New Roman"/>
        </w:rPr>
        <w:t>（5）采购文件所列示的资格性审查表及符合性审查表。</w:t>
      </w:r>
    </w:p>
    <w:p w14:paraId="66FDEBDD">
      <w:pPr>
        <w:outlineLvl w:val="1"/>
        <w:rPr>
          <w:rFonts w:hint="default" w:ascii="Times New Roman" w:hAnsi="Times New Roman" w:eastAsia="宋体" w:cs="Times New Roman"/>
        </w:rPr>
      </w:pPr>
      <w:r>
        <w:rPr>
          <w:rFonts w:hint="default" w:ascii="Times New Roman" w:hAnsi="Times New Roman" w:eastAsia="宋体" w:cs="Times New Roman"/>
        </w:rPr>
        <w:t>2</w:t>
      </w:r>
      <w:r>
        <w:rPr>
          <w:rFonts w:hint="eastAsia" w:cs="Times New Roman"/>
          <w:lang w:val="en-US" w:eastAsia="zh-CN"/>
        </w:rPr>
        <w:t>2</w:t>
      </w:r>
      <w:r>
        <w:rPr>
          <w:rFonts w:hint="default" w:ascii="Times New Roman" w:hAnsi="Times New Roman" w:eastAsia="宋体" w:cs="Times New Roman"/>
        </w:rPr>
        <w:t>．独立评审</w:t>
      </w:r>
    </w:p>
    <w:p w14:paraId="1CCCA5A8">
      <w:pPr>
        <w:rPr>
          <w:rFonts w:hint="default" w:ascii="Times New Roman" w:hAnsi="Times New Roman" w:eastAsia="宋体" w:cs="Times New Roman"/>
        </w:rPr>
      </w:pPr>
      <w:r>
        <w:rPr>
          <w:rFonts w:hint="default" w:ascii="Times New Roman" w:hAnsi="Times New Roman" w:eastAsia="宋体" w:cs="Times New Roman"/>
        </w:rPr>
        <w:t>2</w:t>
      </w:r>
      <w:r>
        <w:rPr>
          <w:rFonts w:hint="eastAsia" w:cs="Times New Roman"/>
          <w:lang w:val="en-US" w:eastAsia="zh-CN"/>
        </w:rPr>
        <w:t>2</w:t>
      </w:r>
      <w:r>
        <w:rPr>
          <w:rFonts w:hint="default" w:ascii="Times New Roman" w:hAnsi="Times New Roman" w:eastAsia="宋体" w:cs="Times New Roman"/>
        </w:rPr>
        <w:t xml:space="preserve">.1 </w:t>
      </w:r>
      <w:r>
        <w:rPr>
          <w:rFonts w:hint="default" w:ascii="Times New Roman" w:hAnsi="Times New Roman" w:eastAsia="宋体" w:cs="Times New Roman"/>
          <w:lang w:eastAsia="zh-CN"/>
        </w:rPr>
        <w:t>评审委员会</w:t>
      </w:r>
      <w:r>
        <w:rPr>
          <w:rFonts w:hint="default" w:ascii="Times New Roman" w:hAnsi="Times New Roman" w:eastAsia="宋体" w:cs="Times New Roman"/>
        </w:rPr>
        <w:t>成员的评审活动应当独立进行，并应遵循投标文件初审、澄清有关问题、 比较与评价、确定中标人、编写评审报告的工作程序。</w:t>
      </w:r>
    </w:p>
    <w:p w14:paraId="13D26239">
      <w:pPr>
        <w:rPr>
          <w:rFonts w:hint="default" w:ascii="Times New Roman" w:hAnsi="Times New Roman" w:eastAsia="宋体" w:cs="Times New Roman"/>
        </w:rPr>
      </w:pPr>
    </w:p>
    <w:p w14:paraId="2A52F30E">
      <w:pPr>
        <w:jc w:val="center"/>
        <w:outlineLvl w:val="0"/>
        <w:rPr>
          <w:rFonts w:hint="default" w:ascii="Times New Roman" w:hAnsi="Times New Roman" w:eastAsia="宋体" w:cs="Times New Roman"/>
          <w:b/>
          <w:bCs/>
          <w:sz w:val="32"/>
          <w:szCs w:val="32"/>
        </w:rPr>
      </w:pPr>
      <w:bookmarkStart w:id="101" w:name="bookmark100"/>
      <w:bookmarkEnd w:id="101"/>
      <w:bookmarkStart w:id="102" w:name="bookmark101"/>
      <w:bookmarkEnd w:id="102"/>
      <w:r>
        <w:rPr>
          <w:rFonts w:hint="default" w:ascii="Times New Roman" w:hAnsi="Times New Roman" w:eastAsia="宋体" w:cs="Times New Roman"/>
          <w:b/>
          <w:bCs/>
          <w:sz w:val="32"/>
          <w:szCs w:val="32"/>
        </w:rPr>
        <w:t>第七章 评审程序及评审方法</w:t>
      </w:r>
    </w:p>
    <w:p w14:paraId="020A2075">
      <w:pPr>
        <w:outlineLvl w:val="1"/>
        <w:rPr>
          <w:rFonts w:hint="default" w:ascii="Times New Roman" w:hAnsi="Times New Roman" w:eastAsia="宋体" w:cs="Times New Roman"/>
        </w:rPr>
      </w:pPr>
      <w:r>
        <w:rPr>
          <w:rFonts w:hint="default" w:ascii="Times New Roman" w:hAnsi="Times New Roman" w:eastAsia="宋体" w:cs="Times New Roman"/>
        </w:rPr>
        <w:t>2</w:t>
      </w:r>
      <w:r>
        <w:rPr>
          <w:rFonts w:hint="eastAsia" w:cs="Times New Roman"/>
          <w:lang w:val="en-US" w:eastAsia="zh-CN"/>
        </w:rPr>
        <w:t>3</w:t>
      </w:r>
      <w:r>
        <w:rPr>
          <w:rFonts w:hint="default" w:ascii="Times New Roman" w:hAnsi="Times New Roman" w:eastAsia="宋体" w:cs="Times New Roman"/>
        </w:rPr>
        <w:t>．投标文件初审</w:t>
      </w:r>
    </w:p>
    <w:p w14:paraId="54A1C13C">
      <w:pPr>
        <w:rPr>
          <w:rFonts w:hint="default" w:ascii="Times New Roman" w:hAnsi="Times New Roman" w:eastAsia="宋体" w:cs="Times New Roman"/>
        </w:rPr>
      </w:pPr>
      <w:r>
        <w:rPr>
          <w:rFonts w:hint="default" w:ascii="Times New Roman" w:hAnsi="Times New Roman" w:eastAsia="宋体" w:cs="Times New Roman"/>
        </w:rPr>
        <w:t>2</w:t>
      </w:r>
      <w:r>
        <w:rPr>
          <w:rFonts w:hint="eastAsia" w:cs="Times New Roman"/>
          <w:lang w:val="en-US" w:eastAsia="zh-CN"/>
        </w:rPr>
        <w:t>3</w:t>
      </w:r>
      <w:r>
        <w:rPr>
          <w:rFonts w:hint="default" w:ascii="Times New Roman" w:hAnsi="Times New Roman" w:eastAsia="宋体" w:cs="Times New Roman"/>
        </w:rPr>
        <w:t>.1 投标文件初审包括资格性审查和符合性审查。资格性审查：依据法律法规和采购 文件的规定，对投标文件中的资格证明等进行审查，以确定投标人是否具备投标资格。符合 性审查：依据采购文件的规定，从投标文件的有效性、完整性和对采购文件的投标程度进行</w:t>
      </w:r>
    </w:p>
    <w:p w14:paraId="7B02430E">
      <w:pPr>
        <w:rPr>
          <w:rFonts w:hint="default" w:ascii="Times New Roman" w:hAnsi="Times New Roman" w:eastAsia="宋体" w:cs="Times New Roman"/>
        </w:rPr>
      </w:pPr>
      <w:r>
        <w:rPr>
          <w:rFonts w:hint="default" w:ascii="Times New Roman" w:hAnsi="Times New Roman" w:eastAsia="宋体" w:cs="Times New Roman"/>
        </w:rPr>
        <w:t>审查，以确定是否对采购文件的实质性要求作出投标。</w:t>
      </w:r>
    </w:p>
    <w:p w14:paraId="30D4E87C">
      <w:pPr>
        <w:rPr>
          <w:rFonts w:hint="default" w:ascii="Times New Roman" w:hAnsi="Times New Roman" w:eastAsia="宋体" w:cs="Times New Roman"/>
        </w:rPr>
      </w:pPr>
      <w:r>
        <w:rPr>
          <w:rFonts w:hint="default" w:ascii="Times New Roman" w:hAnsi="Times New Roman" w:eastAsia="宋体" w:cs="Times New Roman"/>
        </w:rPr>
        <w:t>2</w:t>
      </w:r>
      <w:r>
        <w:rPr>
          <w:rFonts w:hint="eastAsia" w:cs="Times New Roman"/>
          <w:lang w:val="en-US" w:eastAsia="zh-CN"/>
        </w:rPr>
        <w:t>3</w:t>
      </w:r>
      <w:r>
        <w:rPr>
          <w:rFonts w:hint="default" w:ascii="Times New Roman" w:hAnsi="Times New Roman" w:eastAsia="宋体" w:cs="Times New Roman"/>
        </w:rPr>
        <w:t>.2 投标文件初审内容请详见《资格性审查表》和《符合性审查表》部分。投标人若 有一条审查不通过则按投标无效处理。</w:t>
      </w:r>
      <w:r>
        <w:rPr>
          <w:rFonts w:hint="default" w:ascii="Times New Roman" w:hAnsi="Times New Roman" w:eastAsia="宋体" w:cs="Times New Roman"/>
          <w:lang w:eastAsia="zh-CN"/>
        </w:rPr>
        <w:t>评审委员会</w:t>
      </w:r>
      <w:r>
        <w:rPr>
          <w:rFonts w:hint="default" w:ascii="Times New Roman" w:hAnsi="Times New Roman" w:eastAsia="宋体" w:cs="Times New Roman"/>
        </w:rPr>
        <w:t>对投标单位打√为通过审查，打×为未通过 审查。</w:t>
      </w:r>
    </w:p>
    <w:p w14:paraId="3BC0CF2F">
      <w:pPr>
        <w:rPr>
          <w:rFonts w:hint="default" w:ascii="Times New Roman" w:hAnsi="Times New Roman" w:eastAsia="宋体" w:cs="Times New Roman"/>
        </w:rPr>
      </w:pPr>
      <w:r>
        <w:rPr>
          <w:rFonts w:hint="default" w:ascii="Times New Roman" w:hAnsi="Times New Roman" w:eastAsia="宋体" w:cs="Times New Roman"/>
        </w:rPr>
        <w:t>2</w:t>
      </w:r>
      <w:r>
        <w:rPr>
          <w:rFonts w:hint="eastAsia" w:cs="Times New Roman"/>
          <w:lang w:val="en-US" w:eastAsia="zh-CN"/>
        </w:rPr>
        <w:t>3</w:t>
      </w:r>
      <w:r>
        <w:rPr>
          <w:rFonts w:hint="default" w:ascii="Times New Roman" w:hAnsi="Times New Roman" w:eastAsia="宋体" w:cs="Times New Roman"/>
        </w:rPr>
        <w:t>.3 投标人投标文件作无效处理的情形，具体包括但不限于以下：</w:t>
      </w:r>
    </w:p>
    <w:p w14:paraId="36D008ED">
      <w:pPr>
        <w:rPr>
          <w:rFonts w:hint="default" w:ascii="Times New Roman" w:hAnsi="Times New Roman" w:eastAsia="宋体" w:cs="Times New Roman"/>
        </w:rPr>
      </w:pPr>
      <w:r>
        <w:rPr>
          <w:rFonts w:hint="default" w:ascii="Times New Roman" w:hAnsi="Times New Roman" w:eastAsia="宋体" w:cs="Times New Roman"/>
        </w:rPr>
        <w:t>2</w:t>
      </w:r>
      <w:r>
        <w:rPr>
          <w:rFonts w:hint="eastAsia" w:cs="Times New Roman"/>
          <w:lang w:val="en-US" w:eastAsia="zh-CN"/>
        </w:rPr>
        <w:t>3</w:t>
      </w:r>
      <w:r>
        <w:rPr>
          <w:rFonts w:hint="default" w:ascii="Times New Roman" w:hAnsi="Times New Roman" w:eastAsia="宋体" w:cs="Times New Roman"/>
        </w:rPr>
        <w:t>.3.1 不同投标人的投标文件由同一单位或者同一个人编制，或者由同一个人分阶段 参与编制；</w:t>
      </w:r>
    </w:p>
    <w:p w14:paraId="2E40734D">
      <w:pPr>
        <w:outlineLvl w:val="9"/>
        <w:rPr>
          <w:rFonts w:hint="default" w:ascii="Times New Roman" w:hAnsi="Times New Roman" w:eastAsia="宋体" w:cs="Times New Roman"/>
        </w:rPr>
      </w:pPr>
      <w:r>
        <w:rPr>
          <w:rFonts w:hint="default" w:ascii="Times New Roman" w:hAnsi="Times New Roman" w:eastAsia="宋体" w:cs="Times New Roman"/>
        </w:rPr>
        <w:t>2</w:t>
      </w:r>
      <w:r>
        <w:rPr>
          <w:rFonts w:hint="eastAsia" w:cs="Times New Roman"/>
          <w:lang w:val="en-US" w:eastAsia="zh-CN"/>
        </w:rPr>
        <w:t>3</w:t>
      </w:r>
      <w:r>
        <w:rPr>
          <w:rFonts w:hint="default" w:ascii="Times New Roman" w:hAnsi="Times New Roman" w:eastAsia="宋体" w:cs="Times New Roman"/>
        </w:rPr>
        <w:t>.3.2 不同投标人委托同一单位或者个人办理投标事宜；</w:t>
      </w:r>
    </w:p>
    <w:p w14:paraId="24DDD3AF">
      <w:pPr>
        <w:rPr>
          <w:rFonts w:hint="default" w:ascii="Times New Roman" w:hAnsi="Times New Roman" w:eastAsia="宋体" w:cs="Times New Roman"/>
        </w:rPr>
      </w:pPr>
      <w:r>
        <w:rPr>
          <w:rFonts w:hint="default" w:ascii="Times New Roman" w:hAnsi="Times New Roman" w:eastAsia="宋体" w:cs="Times New Roman"/>
        </w:rPr>
        <w:t>2</w:t>
      </w:r>
      <w:r>
        <w:rPr>
          <w:rFonts w:hint="eastAsia" w:cs="Times New Roman"/>
          <w:lang w:val="en-US" w:eastAsia="zh-CN"/>
        </w:rPr>
        <w:t>3</w:t>
      </w:r>
      <w:r>
        <w:rPr>
          <w:rFonts w:hint="default" w:ascii="Times New Roman" w:hAnsi="Times New Roman" w:eastAsia="宋体" w:cs="Times New Roman"/>
        </w:rPr>
        <w:t>.3.3 不同投标人的投标文件载明的项目管理成员或者联系人员为同一人；</w:t>
      </w:r>
    </w:p>
    <w:p w14:paraId="3E809E1E">
      <w:pPr>
        <w:rPr>
          <w:rFonts w:hint="default" w:ascii="Times New Roman" w:hAnsi="Times New Roman" w:eastAsia="宋体" w:cs="Times New Roman"/>
        </w:rPr>
      </w:pPr>
      <w:r>
        <w:rPr>
          <w:rFonts w:hint="default" w:ascii="Times New Roman" w:hAnsi="Times New Roman" w:eastAsia="宋体" w:cs="Times New Roman"/>
        </w:rPr>
        <w:t>2</w:t>
      </w:r>
      <w:r>
        <w:rPr>
          <w:rFonts w:hint="eastAsia" w:cs="Times New Roman"/>
          <w:lang w:val="en-US" w:eastAsia="zh-CN"/>
        </w:rPr>
        <w:t>3</w:t>
      </w:r>
      <w:r>
        <w:rPr>
          <w:rFonts w:hint="default" w:ascii="Times New Roman" w:hAnsi="Times New Roman" w:eastAsia="宋体" w:cs="Times New Roman"/>
        </w:rPr>
        <w:t>.3.4 不同投标人的投标文件异常一致或者投标报价呈规律性差异；</w:t>
      </w:r>
    </w:p>
    <w:p w14:paraId="0797CDDA">
      <w:pPr>
        <w:rPr>
          <w:rFonts w:hint="default" w:ascii="Times New Roman" w:hAnsi="Times New Roman" w:eastAsia="宋体" w:cs="Times New Roman"/>
        </w:rPr>
      </w:pPr>
      <w:r>
        <w:rPr>
          <w:rFonts w:hint="default" w:ascii="Times New Roman" w:hAnsi="Times New Roman" w:eastAsia="宋体" w:cs="Times New Roman"/>
        </w:rPr>
        <w:t>2</w:t>
      </w:r>
      <w:r>
        <w:rPr>
          <w:rFonts w:hint="eastAsia" w:cs="Times New Roman"/>
          <w:lang w:val="en-US" w:eastAsia="zh-CN"/>
        </w:rPr>
        <w:t>3</w:t>
      </w:r>
      <w:r>
        <w:rPr>
          <w:rFonts w:hint="default" w:ascii="Times New Roman" w:hAnsi="Times New Roman" w:eastAsia="宋体" w:cs="Times New Roman"/>
        </w:rPr>
        <w:t>.3.5 不同投标人的投标文件相互混装；</w:t>
      </w:r>
    </w:p>
    <w:p w14:paraId="22C98573">
      <w:pPr>
        <w:rPr>
          <w:rFonts w:hint="default" w:ascii="Times New Roman" w:hAnsi="Times New Roman" w:eastAsia="宋体" w:cs="Times New Roman"/>
        </w:rPr>
      </w:pPr>
      <w:r>
        <w:rPr>
          <w:rFonts w:hint="default" w:ascii="Times New Roman" w:hAnsi="Times New Roman" w:eastAsia="宋体" w:cs="Times New Roman"/>
        </w:rPr>
        <w:t>2</w:t>
      </w:r>
      <w:r>
        <w:rPr>
          <w:rFonts w:hint="eastAsia" w:cs="Times New Roman"/>
          <w:lang w:val="en-US" w:eastAsia="zh-CN"/>
        </w:rPr>
        <w:t>3</w:t>
      </w:r>
      <w:r>
        <w:rPr>
          <w:rFonts w:hint="default" w:ascii="Times New Roman" w:hAnsi="Times New Roman" w:eastAsia="宋体" w:cs="Times New Roman"/>
        </w:rPr>
        <w:t>.3.6 投标人之间相互约定给予未中选的投标人利益补偿；</w:t>
      </w:r>
    </w:p>
    <w:p w14:paraId="20DBF2EC">
      <w:pPr>
        <w:rPr>
          <w:rFonts w:hint="default" w:ascii="Times New Roman" w:hAnsi="Times New Roman" w:eastAsia="宋体" w:cs="Times New Roman"/>
        </w:rPr>
      </w:pPr>
      <w:r>
        <w:rPr>
          <w:rFonts w:hint="default" w:ascii="Times New Roman" w:hAnsi="Times New Roman" w:eastAsia="宋体" w:cs="Times New Roman"/>
        </w:rPr>
        <w:t>2</w:t>
      </w:r>
      <w:r>
        <w:rPr>
          <w:rFonts w:hint="eastAsia" w:cs="Times New Roman"/>
          <w:lang w:val="en-US" w:eastAsia="zh-CN"/>
        </w:rPr>
        <w:t>3</w:t>
      </w:r>
      <w:r>
        <w:rPr>
          <w:rFonts w:hint="default" w:ascii="Times New Roman" w:hAnsi="Times New Roman" w:eastAsia="宋体" w:cs="Times New Roman"/>
        </w:rPr>
        <w:t>.3.7 不同投标人的法定代表人、主要经营负责人、项目投标授权代表人、项目负责 人、主要技术人员为同一人、属同一单位或者同一单位缴纳社会保险；</w:t>
      </w:r>
    </w:p>
    <w:p w14:paraId="61D78585">
      <w:pPr>
        <w:outlineLvl w:val="9"/>
        <w:rPr>
          <w:rFonts w:hint="default" w:ascii="Times New Roman" w:hAnsi="Times New Roman" w:eastAsia="宋体" w:cs="Times New Roman"/>
        </w:rPr>
      </w:pPr>
      <w:r>
        <w:rPr>
          <w:rFonts w:hint="default" w:ascii="Times New Roman" w:hAnsi="Times New Roman" w:eastAsia="宋体" w:cs="Times New Roman"/>
        </w:rPr>
        <w:t>2</w:t>
      </w:r>
      <w:r>
        <w:rPr>
          <w:rFonts w:hint="eastAsia" w:cs="Times New Roman"/>
          <w:lang w:val="en-US" w:eastAsia="zh-CN"/>
        </w:rPr>
        <w:t>3</w:t>
      </w:r>
      <w:r>
        <w:rPr>
          <w:rFonts w:hint="default" w:ascii="Times New Roman" w:hAnsi="Times New Roman" w:eastAsia="宋体" w:cs="Times New Roman"/>
        </w:rPr>
        <w:t>.3.8 不同投标人的投标文件内容存在非正常一致；</w:t>
      </w:r>
    </w:p>
    <w:p w14:paraId="0A2726B2">
      <w:pPr>
        <w:rPr>
          <w:rFonts w:hint="default" w:ascii="Times New Roman" w:hAnsi="Times New Roman" w:eastAsia="宋体" w:cs="Times New Roman"/>
        </w:rPr>
      </w:pPr>
      <w:r>
        <w:rPr>
          <w:rFonts w:hint="default" w:ascii="Times New Roman" w:hAnsi="Times New Roman" w:eastAsia="宋体" w:cs="Times New Roman"/>
        </w:rPr>
        <w:t>2</w:t>
      </w:r>
      <w:r>
        <w:rPr>
          <w:rFonts w:hint="eastAsia" w:cs="Times New Roman"/>
          <w:lang w:val="en-US" w:eastAsia="zh-CN"/>
        </w:rPr>
        <w:t>3</w:t>
      </w:r>
      <w:r>
        <w:rPr>
          <w:rFonts w:hint="default" w:ascii="Times New Roman" w:hAnsi="Times New Roman" w:eastAsia="宋体" w:cs="Times New Roman"/>
        </w:rPr>
        <w:t>.3.9 在同一单位工作人员为两家以上（含两家）投标人进行同一项投标活动；</w:t>
      </w:r>
    </w:p>
    <w:p w14:paraId="3C89C37D">
      <w:pPr>
        <w:outlineLvl w:val="9"/>
        <w:rPr>
          <w:rFonts w:hint="default" w:ascii="Times New Roman" w:hAnsi="Times New Roman" w:eastAsia="宋体" w:cs="Times New Roman"/>
        </w:rPr>
      </w:pPr>
      <w:r>
        <w:rPr>
          <w:rFonts w:hint="default" w:ascii="Times New Roman" w:hAnsi="Times New Roman" w:eastAsia="宋体" w:cs="Times New Roman"/>
        </w:rPr>
        <w:t>2</w:t>
      </w:r>
      <w:r>
        <w:rPr>
          <w:rFonts w:hint="eastAsia" w:cs="Times New Roman"/>
          <w:lang w:val="en-US" w:eastAsia="zh-CN"/>
        </w:rPr>
        <w:t>3</w:t>
      </w:r>
      <w:r>
        <w:rPr>
          <w:rFonts w:hint="default" w:ascii="Times New Roman" w:hAnsi="Times New Roman" w:eastAsia="宋体" w:cs="Times New Roman"/>
        </w:rPr>
        <w:t>.3.10 法律、法规认定的其他情形。</w:t>
      </w:r>
    </w:p>
    <w:p w14:paraId="5E5DBB82">
      <w:pPr>
        <w:rPr>
          <w:rFonts w:hint="default" w:ascii="Times New Roman" w:hAnsi="Times New Roman" w:eastAsia="宋体" w:cs="Times New Roman"/>
        </w:rPr>
      </w:pPr>
      <w:r>
        <w:rPr>
          <w:rFonts w:hint="default" w:ascii="Times New Roman" w:hAnsi="Times New Roman" w:eastAsia="宋体" w:cs="Times New Roman"/>
        </w:rPr>
        <w:t>2</w:t>
      </w:r>
      <w:r>
        <w:rPr>
          <w:rFonts w:hint="eastAsia" w:cs="Times New Roman"/>
          <w:lang w:val="en-US" w:eastAsia="zh-CN"/>
        </w:rPr>
        <w:t>3</w:t>
      </w:r>
      <w:r>
        <w:rPr>
          <w:rFonts w:hint="default" w:ascii="Times New Roman" w:hAnsi="Times New Roman" w:eastAsia="宋体" w:cs="Times New Roman"/>
        </w:rPr>
        <w:t>.4 对不属于《资格性审查表》和《符合性审查表》所列的其他情形，除专用条款另 有规定条款所列情形外，不得作为投保无效的理由。</w:t>
      </w:r>
    </w:p>
    <w:p w14:paraId="2790D839">
      <w:pPr>
        <w:outlineLvl w:val="1"/>
        <w:rPr>
          <w:rFonts w:hint="default" w:ascii="Times New Roman" w:hAnsi="Times New Roman" w:eastAsia="宋体" w:cs="Times New Roman"/>
        </w:rPr>
      </w:pPr>
      <w:r>
        <w:rPr>
          <w:rFonts w:hint="default" w:ascii="Times New Roman" w:hAnsi="Times New Roman" w:eastAsia="宋体" w:cs="Times New Roman"/>
        </w:rPr>
        <w:t>2</w:t>
      </w:r>
      <w:r>
        <w:rPr>
          <w:rFonts w:hint="eastAsia" w:cs="Times New Roman"/>
          <w:lang w:val="en-US" w:eastAsia="zh-CN"/>
        </w:rPr>
        <w:t>4</w:t>
      </w:r>
      <w:r>
        <w:rPr>
          <w:rFonts w:hint="default" w:ascii="Times New Roman" w:hAnsi="Times New Roman" w:eastAsia="宋体" w:cs="Times New Roman"/>
        </w:rPr>
        <w:t>．澄清有关问题</w:t>
      </w:r>
    </w:p>
    <w:p w14:paraId="188708F1">
      <w:pPr>
        <w:rPr>
          <w:rFonts w:hint="default" w:ascii="Times New Roman" w:hAnsi="Times New Roman" w:eastAsia="宋体" w:cs="Times New Roman"/>
        </w:rPr>
      </w:pPr>
      <w:r>
        <w:rPr>
          <w:rFonts w:hint="default" w:ascii="Times New Roman" w:hAnsi="Times New Roman" w:eastAsia="宋体" w:cs="Times New Roman"/>
        </w:rPr>
        <w:t xml:space="preserve">对于投标文件中含义不明确、同类问题表述不一致或者有明显文字和计算错误的内容， </w:t>
      </w:r>
      <w:r>
        <w:rPr>
          <w:rFonts w:hint="default" w:ascii="Times New Roman" w:hAnsi="Times New Roman" w:eastAsia="宋体" w:cs="Times New Roman"/>
          <w:lang w:eastAsia="zh-CN"/>
        </w:rPr>
        <w:t>评审委员会</w:t>
      </w:r>
      <w:r>
        <w:rPr>
          <w:rFonts w:hint="default" w:ascii="Times New Roman" w:hAnsi="Times New Roman" w:eastAsia="宋体" w:cs="Times New Roman"/>
        </w:rPr>
        <w:t>应当以书面形式要求投标人作出必要的澄清、说明或者补正。</w:t>
      </w:r>
    </w:p>
    <w:p w14:paraId="773D5977">
      <w:pPr>
        <w:rPr>
          <w:rFonts w:hint="default" w:ascii="Times New Roman" w:hAnsi="Times New Roman" w:eastAsia="宋体" w:cs="Times New Roman"/>
        </w:rPr>
      </w:pPr>
      <w:r>
        <w:rPr>
          <w:rFonts w:hint="default" w:ascii="Times New Roman" w:hAnsi="Times New Roman" w:eastAsia="宋体" w:cs="Times New Roman"/>
        </w:rPr>
        <w:t>投标人的澄清、说明或者补正应当采用书面形式，并加盖公章，或者由法定代表人 或其授权的代表签字。投标人的澄清、说明或者补正不得超出投标文件的范围或者改变投标 文件的实质性内容。</w:t>
      </w:r>
    </w:p>
    <w:p w14:paraId="2789ED01">
      <w:pPr>
        <w:rPr>
          <w:rFonts w:hint="default" w:ascii="Times New Roman" w:hAnsi="Times New Roman" w:eastAsia="宋体" w:cs="Times New Roman"/>
        </w:rPr>
      </w:pPr>
      <w:r>
        <w:rPr>
          <w:rFonts w:hint="default" w:ascii="Times New Roman" w:hAnsi="Times New Roman" w:eastAsia="宋体" w:cs="Times New Roman"/>
        </w:rPr>
        <w:t>凡属于</w:t>
      </w:r>
      <w:r>
        <w:rPr>
          <w:rFonts w:hint="default" w:ascii="Times New Roman" w:hAnsi="Times New Roman" w:eastAsia="宋体" w:cs="Times New Roman"/>
          <w:lang w:eastAsia="zh-CN"/>
        </w:rPr>
        <w:t>评审委员会</w:t>
      </w:r>
      <w:r>
        <w:rPr>
          <w:rFonts w:hint="default" w:ascii="Times New Roman" w:hAnsi="Times New Roman" w:eastAsia="宋体" w:cs="Times New Roman"/>
        </w:rPr>
        <w:t>在评审中发现的算术错误进行核实的修改不在此列。</w:t>
      </w:r>
    </w:p>
    <w:p w14:paraId="311D435E">
      <w:pPr>
        <w:outlineLvl w:val="1"/>
        <w:rPr>
          <w:rFonts w:hint="default" w:ascii="Times New Roman" w:hAnsi="Times New Roman" w:eastAsia="宋体" w:cs="Times New Roman"/>
        </w:rPr>
      </w:pPr>
      <w:r>
        <w:rPr>
          <w:rFonts w:hint="default" w:ascii="Times New Roman" w:hAnsi="Times New Roman" w:eastAsia="宋体" w:cs="Times New Roman"/>
        </w:rPr>
        <w:t>2</w:t>
      </w:r>
      <w:r>
        <w:rPr>
          <w:rFonts w:hint="eastAsia" w:cs="Times New Roman"/>
          <w:lang w:val="en-US" w:eastAsia="zh-CN"/>
        </w:rPr>
        <w:t>5</w:t>
      </w:r>
      <w:r>
        <w:rPr>
          <w:rFonts w:hint="default" w:ascii="Times New Roman" w:hAnsi="Times New Roman" w:eastAsia="宋体" w:cs="Times New Roman"/>
        </w:rPr>
        <w:t>. 错误的修正</w:t>
      </w:r>
    </w:p>
    <w:p w14:paraId="5FFD6437">
      <w:pPr>
        <w:rPr>
          <w:rFonts w:hint="default" w:ascii="Times New Roman" w:hAnsi="Times New Roman" w:eastAsia="宋体" w:cs="Times New Roman"/>
        </w:rPr>
      </w:pPr>
      <w:r>
        <w:rPr>
          <w:rFonts w:hint="default" w:ascii="Times New Roman" w:hAnsi="Times New Roman" w:eastAsia="宋体" w:cs="Times New Roman"/>
        </w:rPr>
        <w:t>投标文件报价出现前后不一致的，除专用条款另有规定外，按照下列规定修正：</w:t>
      </w:r>
    </w:p>
    <w:p w14:paraId="0D8A2EB3">
      <w:pPr>
        <w:rPr>
          <w:rFonts w:hint="default" w:ascii="Times New Roman" w:hAnsi="Times New Roman" w:eastAsia="宋体" w:cs="Times New Roman"/>
        </w:rPr>
      </w:pPr>
      <w:r>
        <w:rPr>
          <w:rFonts w:hint="default" w:ascii="Times New Roman" w:hAnsi="Times New Roman" w:eastAsia="宋体" w:cs="Times New Roman"/>
        </w:rPr>
        <w:t>2</w:t>
      </w:r>
      <w:r>
        <w:rPr>
          <w:rFonts w:hint="eastAsia" w:cs="Times New Roman"/>
          <w:lang w:val="en-US" w:eastAsia="zh-CN"/>
        </w:rPr>
        <w:t>5</w:t>
      </w:r>
      <w:r>
        <w:rPr>
          <w:rFonts w:hint="default" w:ascii="Times New Roman" w:hAnsi="Times New Roman" w:eastAsia="宋体" w:cs="Times New Roman"/>
        </w:rPr>
        <w:t>.1 投标文件中开标一览表内容与投标文件中相应内容不一致的，以开标一览表为准；</w:t>
      </w:r>
    </w:p>
    <w:p w14:paraId="72B89E11">
      <w:pPr>
        <w:outlineLvl w:val="9"/>
        <w:rPr>
          <w:rFonts w:hint="default" w:ascii="Times New Roman" w:hAnsi="Times New Roman" w:eastAsia="宋体" w:cs="Times New Roman"/>
        </w:rPr>
      </w:pPr>
      <w:r>
        <w:rPr>
          <w:rFonts w:hint="default" w:ascii="Times New Roman" w:hAnsi="Times New Roman" w:eastAsia="宋体" w:cs="Times New Roman"/>
        </w:rPr>
        <w:t>2</w:t>
      </w:r>
      <w:r>
        <w:rPr>
          <w:rFonts w:hint="eastAsia" w:cs="Times New Roman"/>
          <w:lang w:val="en-US" w:eastAsia="zh-CN"/>
        </w:rPr>
        <w:t>5</w:t>
      </w:r>
      <w:r>
        <w:rPr>
          <w:rFonts w:hint="default" w:ascii="Times New Roman" w:hAnsi="Times New Roman" w:eastAsia="宋体" w:cs="Times New Roman"/>
        </w:rPr>
        <w:t>.2 大写金额和小写金额不一致的， 以大写金额为准；</w:t>
      </w:r>
    </w:p>
    <w:p w14:paraId="56BE79E6">
      <w:pPr>
        <w:rPr>
          <w:rFonts w:hint="default" w:ascii="Times New Roman" w:hAnsi="Times New Roman" w:eastAsia="宋体" w:cs="Times New Roman"/>
        </w:rPr>
      </w:pPr>
      <w:r>
        <w:rPr>
          <w:rFonts w:hint="default" w:ascii="Times New Roman" w:hAnsi="Times New Roman" w:eastAsia="宋体" w:cs="Times New Roman"/>
        </w:rPr>
        <w:t>2</w:t>
      </w:r>
      <w:r>
        <w:rPr>
          <w:rFonts w:hint="eastAsia" w:cs="Times New Roman"/>
          <w:lang w:val="en-US" w:eastAsia="zh-CN"/>
        </w:rPr>
        <w:t>5</w:t>
      </w:r>
      <w:r>
        <w:rPr>
          <w:rFonts w:hint="default" w:ascii="Times New Roman" w:hAnsi="Times New Roman" w:eastAsia="宋体" w:cs="Times New Roman"/>
        </w:rPr>
        <w:t>.3 单价金额小数点或者百分比有明显错位，以开标一览表的总价为准，并修改单价；</w:t>
      </w:r>
    </w:p>
    <w:p w14:paraId="522977AC">
      <w:pPr>
        <w:rPr>
          <w:rFonts w:hint="default" w:ascii="Times New Roman" w:hAnsi="Times New Roman" w:eastAsia="宋体" w:cs="Times New Roman"/>
        </w:rPr>
      </w:pPr>
      <w:r>
        <w:rPr>
          <w:rFonts w:hint="default" w:ascii="Times New Roman" w:hAnsi="Times New Roman" w:eastAsia="宋体" w:cs="Times New Roman"/>
        </w:rPr>
        <w:t>2</w:t>
      </w:r>
      <w:r>
        <w:rPr>
          <w:rFonts w:hint="eastAsia" w:cs="Times New Roman"/>
          <w:lang w:val="en-US" w:eastAsia="zh-CN"/>
        </w:rPr>
        <w:t>5</w:t>
      </w:r>
      <w:r>
        <w:rPr>
          <w:rFonts w:hint="default" w:ascii="Times New Roman" w:hAnsi="Times New Roman" w:eastAsia="宋体" w:cs="Times New Roman"/>
        </w:rPr>
        <w:t>.4 总价金额与按单价汇总金额不一致的，以单价金额计算结果为准。</w:t>
      </w:r>
    </w:p>
    <w:p w14:paraId="0B82CA7C">
      <w:pPr>
        <w:rPr>
          <w:rFonts w:hint="default" w:ascii="Times New Roman" w:hAnsi="Times New Roman" w:eastAsia="宋体" w:cs="Times New Roman"/>
        </w:rPr>
      </w:pPr>
      <w:r>
        <w:rPr>
          <w:rFonts w:hint="default" w:ascii="Times New Roman" w:hAnsi="Times New Roman" w:eastAsia="宋体" w:cs="Times New Roman"/>
        </w:rPr>
        <w:t>2</w:t>
      </w:r>
      <w:r>
        <w:rPr>
          <w:rFonts w:hint="eastAsia" w:cs="Times New Roman"/>
          <w:lang w:val="en-US" w:eastAsia="zh-CN"/>
        </w:rPr>
        <w:t>5</w:t>
      </w:r>
      <w:r>
        <w:rPr>
          <w:rFonts w:hint="default" w:ascii="Times New Roman" w:hAnsi="Times New Roman" w:eastAsia="宋体" w:cs="Times New Roman"/>
        </w:rPr>
        <w:t>.5 同时出现两种以上不一致的，按照前款规定的顺序修正。修正后的报价按照本通 用条款的规定，经投标人确认后产生约束力，投标人不确认的，其投标无效。</w:t>
      </w:r>
    </w:p>
    <w:p w14:paraId="13F8DBDD">
      <w:pPr>
        <w:outlineLvl w:val="1"/>
        <w:rPr>
          <w:rFonts w:hint="default" w:ascii="Times New Roman" w:hAnsi="Times New Roman" w:eastAsia="宋体" w:cs="Times New Roman"/>
        </w:rPr>
      </w:pPr>
      <w:r>
        <w:rPr>
          <w:rFonts w:hint="default" w:ascii="Times New Roman" w:hAnsi="Times New Roman" w:eastAsia="宋体" w:cs="Times New Roman"/>
        </w:rPr>
        <w:t>2</w:t>
      </w:r>
      <w:r>
        <w:rPr>
          <w:rFonts w:hint="eastAsia" w:cs="Times New Roman"/>
          <w:lang w:val="en-US" w:eastAsia="zh-CN"/>
        </w:rPr>
        <w:t>6</w:t>
      </w:r>
      <w:r>
        <w:rPr>
          <w:rFonts w:hint="default" w:ascii="Times New Roman" w:hAnsi="Times New Roman" w:eastAsia="宋体" w:cs="Times New Roman"/>
        </w:rPr>
        <w:t>．投标文件的比较与评价</w:t>
      </w:r>
    </w:p>
    <w:p w14:paraId="47B2368C">
      <w:pPr>
        <w:rPr>
          <w:rFonts w:hint="default" w:ascii="Times New Roman" w:hAnsi="Times New Roman" w:eastAsia="宋体" w:cs="Times New Roman"/>
        </w:rPr>
      </w:pPr>
      <w:r>
        <w:rPr>
          <w:rFonts w:hint="default" w:ascii="Times New Roman" w:hAnsi="Times New Roman" w:eastAsia="宋体" w:cs="Times New Roman"/>
          <w:lang w:eastAsia="zh-CN"/>
        </w:rPr>
        <w:t>评审委员会</w:t>
      </w:r>
      <w:r>
        <w:rPr>
          <w:rFonts w:hint="default" w:ascii="Times New Roman" w:hAnsi="Times New Roman" w:eastAsia="宋体" w:cs="Times New Roman"/>
        </w:rPr>
        <w:t>成员对需要共同认定的事项存在争议的，应当按照少数服从多数的原则作出结 论。持不同意见的</w:t>
      </w:r>
      <w:r>
        <w:rPr>
          <w:rFonts w:hint="default" w:ascii="Times New Roman" w:hAnsi="Times New Roman" w:eastAsia="宋体" w:cs="Times New Roman"/>
          <w:lang w:eastAsia="zh-CN"/>
        </w:rPr>
        <w:t>评审委员会</w:t>
      </w:r>
      <w:r>
        <w:rPr>
          <w:rFonts w:hint="default" w:ascii="Times New Roman" w:hAnsi="Times New Roman" w:eastAsia="宋体" w:cs="Times New Roman"/>
        </w:rPr>
        <w:t xml:space="preserve">应当在评审报告上签署不同意见及理由，否则视为同意评审报告。 </w:t>
      </w:r>
    </w:p>
    <w:p w14:paraId="5FA37361">
      <w:pPr>
        <w:rPr>
          <w:rFonts w:hint="default" w:ascii="Times New Roman" w:hAnsi="Times New Roman" w:eastAsia="宋体" w:cs="Times New Roman"/>
        </w:rPr>
      </w:pPr>
      <w:r>
        <w:rPr>
          <w:rFonts w:hint="eastAsia" w:cs="Times New Roman"/>
          <w:lang w:val="en-US" w:eastAsia="zh-CN"/>
        </w:rPr>
        <w:t>27</w:t>
      </w:r>
      <w:r>
        <w:rPr>
          <w:rFonts w:hint="default" w:ascii="Times New Roman" w:hAnsi="Times New Roman" w:eastAsia="宋体" w:cs="Times New Roman"/>
        </w:rPr>
        <w:t>.实地考察、演示或设备测试</w:t>
      </w:r>
    </w:p>
    <w:p w14:paraId="54248633">
      <w:pPr>
        <w:rPr>
          <w:rFonts w:hint="default" w:ascii="Times New Roman" w:hAnsi="Times New Roman" w:eastAsia="宋体" w:cs="Times New Roman"/>
        </w:rPr>
      </w:pPr>
      <w:r>
        <w:rPr>
          <w:rFonts w:hint="eastAsia" w:cs="Times New Roman"/>
          <w:lang w:val="en-US" w:eastAsia="zh-CN"/>
        </w:rPr>
        <w:t>27</w:t>
      </w:r>
      <w:r>
        <w:rPr>
          <w:rFonts w:hint="default" w:ascii="Times New Roman" w:hAnsi="Times New Roman" w:eastAsia="宋体" w:cs="Times New Roman"/>
        </w:rPr>
        <w:t>.1 在采购过程中，</w:t>
      </w:r>
      <w:r>
        <w:rPr>
          <w:rFonts w:hint="default" w:ascii="Times New Roman" w:hAnsi="Times New Roman" w:eastAsia="宋体" w:cs="Times New Roman"/>
          <w:lang w:eastAsia="zh-CN"/>
        </w:rPr>
        <w:t>评审委员会</w:t>
      </w:r>
      <w:r>
        <w:rPr>
          <w:rFonts w:hint="default" w:ascii="Times New Roman" w:hAnsi="Times New Roman" w:eastAsia="宋体" w:cs="Times New Roman"/>
        </w:rPr>
        <w:t>有权决定是否对本项目投标人进行现场勘察或实地考察 或检验有关证明材料的原件。投标人应随时做好接受检查的准备。</w:t>
      </w:r>
    </w:p>
    <w:p w14:paraId="110D0060">
      <w:pPr>
        <w:rPr>
          <w:rFonts w:hint="default" w:ascii="Times New Roman" w:hAnsi="Times New Roman" w:eastAsia="宋体" w:cs="Times New Roman"/>
        </w:rPr>
      </w:pPr>
      <w:r>
        <w:rPr>
          <w:rFonts w:hint="eastAsia" w:cs="Times New Roman"/>
          <w:lang w:val="en-US" w:eastAsia="zh-CN"/>
        </w:rPr>
        <w:t>27</w:t>
      </w:r>
      <w:r>
        <w:rPr>
          <w:rFonts w:hint="default" w:ascii="Times New Roman" w:hAnsi="Times New Roman" w:eastAsia="宋体" w:cs="Times New Roman"/>
        </w:rPr>
        <w:t>.2 若采购文件要求进行现场演示或设备测试的，投标人应做好相应准备。</w:t>
      </w:r>
    </w:p>
    <w:p w14:paraId="6BFB7B28">
      <w:pPr>
        <w:outlineLvl w:val="1"/>
        <w:rPr>
          <w:rFonts w:hint="default" w:ascii="Times New Roman" w:hAnsi="Times New Roman" w:eastAsia="宋体" w:cs="Times New Roman"/>
        </w:rPr>
      </w:pPr>
      <w:r>
        <w:rPr>
          <w:rFonts w:hint="eastAsia" w:cs="Times New Roman"/>
          <w:lang w:val="en-US" w:eastAsia="zh-CN"/>
        </w:rPr>
        <w:t>28</w:t>
      </w:r>
      <w:r>
        <w:rPr>
          <w:rFonts w:hint="default" w:ascii="Times New Roman" w:hAnsi="Times New Roman" w:eastAsia="宋体" w:cs="Times New Roman"/>
        </w:rPr>
        <w:t>．评审方法</w:t>
      </w:r>
    </w:p>
    <w:p w14:paraId="54685E76">
      <w:pPr>
        <w:outlineLvl w:val="9"/>
        <w:rPr>
          <w:rFonts w:hint="default" w:ascii="Times New Roman" w:hAnsi="Times New Roman" w:eastAsia="宋体" w:cs="Times New Roman"/>
        </w:rPr>
      </w:pPr>
      <w:r>
        <w:rPr>
          <w:rFonts w:hint="eastAsia" w:cs="Times New Roman"/>
          <w:lang w:val="en-US" w:eastAsia="zh-CN"/>
        </w:rPr>
        <w:t>28</w:t>
      </w:r>
      <w:r>
        <w:rPr>
          <w:rFonts w:hint="default" w:ascii="Times New Roman" w:hAnsi="Times New Roman" w:eastAsia="宋体" w:cs="Times New Roman"/>
        </w:rPr>
        <w:t>.1 最低价法</w:t>
      </w:r>
    </w:p>
    <w:p w14:paraId="7F1ADE67">
      <w:pPr>
        <w:rPr>
          <w:rFonts w:hint="default" w:ascii="Times New Roman" w:hAnsi="Times New Roman" w:eastAsia="宋体" w:cs="Times New Roman"/>
        </w:rPr>
      </w:pPr>
      <w:r>
        <w:rPr>
          <w:rFonts w:hint="default" w:ascii="Times New Roman" w:hAnsi="Times New Roman" w:eastAsia="宋体" w:cs="Times New Roman"/>
        </w:rPr>
        <w:t>最低评审价法，是指投标文件满足采购文件全部实质性要求，且投标报价最低的投标人 为中选候选人的评审方法。</w:t>
      </w:r>
    </w:p>
    <w:p w14:paraId="43FAB76C">
      <w:pPr>
        <w:outlineLvl w:val="9"/>
        <w:rPr>
          <w:rFonts w:hint="default" w:ascii="Times New Roman" w:hAnsi="Times New Roman" w:eastAsia="宋体" w:cs="Times New Roman"/>
        </w:rPr>
      </w:pPr>
      <w:r>
        <w:rPr>
          <w:rFonts w:hint="eastAsia" w:cs="Times New Roman"/>
          <w:lang w:val="en-US" w:eastAsia="zh-CN"/>
        </w:rPr>
        <w:t>28</w:t>
      </w:r>
      <w:r>
        <w:rPr>
          <w:rFonts w:hint="default" w:ascii="Times New Roman" w:hAnsi="Times New Roman" w:eastAsia="宋体" w:cs="Times New Roman"/>
        </w:rPr>
        <w:t>.1.2 综合评分法</w:t>
      </w:r>
    </w:p>
    <w:p w14:paraId="191F7BEC">
      <w:pPr>
        <w:rPr>
          <w:rFonts w:hint="default" w:ascii="Times New Roman" w:hAnsi="Times New Roman" w:eastAsia="宋体" w:cs="Times New Roman"/>
        </w:rPr>
      </w:pPr>
      <w:r>
        <w:rPr>
          <w:rFonts w:hint="default" w:ascii="Times New Roman" w:hAnsi="Times New Roman" w:eastAsia="宋体" w:cs="Times New Roman"/>
        </w:rPr>
        <w:t>综合评分法，是指投标文件满足采购文件全部实质性要求，且按照评审因素的量化指标 评审得分最高的投标人为中选候选人的评审方法。</w:t>
      </w:r>
    </w:p>
    <w:p w14:paraId="16AB18BD">
      <w:pPr>
        <w:outlineLvl w:val="9"/>
        <w:rPr>
          <w:rFonts w:hint="default" w:ascii="Times New Roman" w:hAnsi="Times New Roman" w:eastAsia="宋体" w:cs="Times New Roman"/>
        </w:rPr>
      </w:pPr>
      <w:r>
        <w:rPr>
          <w:rFonts w:hint="eastAsia" w:cs="Times New Roman"/>
          <w:lang w:val="en-US" w:eastAsia="zh-CN"/>
        </w:rPr>
        <w:t>28</w:t>
      </w:r>
      <w:r>
        <w:rPr>
          <w:rFonts w:hint="default" w:ascii="Times New Roman" w:hAnsi="Times New Roman" w:eastAsia="宋体" w:cs="Times New Roman"/>
        </w:rPr>
        <w:t>.1.3 定性评审法</w:t>
      </w:r>
    </w:p>
    <w:p w14:paraId="1E9BE2B2">
      <w:pPr>
        <w:rPr>
          <w:rFonts w:hint="default" w:ascii="Times New Roman" w:hAnsi="Times New Roman" w:eastAsia="宋体" w:cs="Times New Roman"/>
        </w:rPr>
      </w:pPr>
      <w:r>
        <w:rPr>
          <w:rFonts w:hint="default" w:ascii="Times New Roman" w:hAnsi="Times New Roman" w:eastAsia="宋体" w:cs="Times New Roman"/>
        </w:rPr>
        <w:t>定性评审法，是指按照采购文件规定的各项因素进行技术商务定性评审，对各投标文件 是否满足采购文件实质性要求提出意见，指出投标文件的优点、缺陷、问题以及签订合同前 应注意和澄清的事项，并形成评审报告。所有递交的投标文件不被判定为废标或者无效标的 投标人，均推荐为候选中标人。</w:t>
      </w:r>
    </w:p>
    <w:p w14:paraId="721CD25C">
      <w:pPr>
        <w:rPr>
          <w:rFonts w:hint="default" w:ascii="Times New Roman" w:hAnsi="Times New Roman" w:eastAsia="宋体" w:cs="Times New Roman"/>
        </w:rPr>
      </w:pPr>
    </w:p>
    <w:p w14:paraId="0AF16CA5">
      <w:pPr>
        <w:rPr>
          <w:rFonts w:hint="default" w:ascii="Times New Roman" w:hAnsi="Times New Roman" w:eastAsia="宋体" w:cs="Times New Roman"/>
        </w:rPr>
      </w:pPr>
    </w:p>
    <w:p w14:paraId="18C7ECAA">
      <w:pPr>
        <w:jc w:val="center"/>
        <w:outlineLvl w:val="0"/>
        <w:rPr>
          <w:rFonts w:hint="default" w:ascii="Times New Roman" w:hAnsi="Times New Roman" w:eastAsia="宋体" w:cs="Times New Roman"/>
          <w:b/>
          <w:bCs/>
          <w:sz w:val="32"/>
          <w:szCs w:val="32"/>
        </w:rPr>
      </w:pPr>
      <w:bookmarkStart w:id="103" w:name="bookmark103"/>
      <w:bookmarkEnd w:id="103"/>
      <w:bookmarkStart w:id="104" w:name="bookmark102"/>
      <w:bookmarkEnd w:id="104"/>
      <w:r>
        <w:rPr>
          <w:rFonts w:hint="default" w:ascii="Times New Roman" w:hAnsi="Times New Roman" w:eastAsia="宋体" w:cs="Times New Roman"/>
          <w:b/>
          <w:bCs/>
          <w:sz w:val="32"/>
          <w:szCs w:val="32"/>
        </w:rPr>
        <w:t>第八章   定标及公示</w:t>
      </w:r>
    </w:p>
    <w:p w14:paraId="65D1428D">
      <w:pPr>
        <w:outlineLvl w:val="1"/>
        <w:rPr>
          <w:rFonts w:hint="default" w:ascii="Times New Roman" w:hAnsi="Times New Roman" w:eastAsia="宋体" w:cs="Times New Roman"/>
        </w:rPr>
      </w:pPr>
      <w:r>
        <w:rPr>
          <w:rFonts w:hint="eastAsia" w:cs="Times New Roman"/>
          <w:lang w:val="en-US" w:eastAsia="zh-CN"/>
        </w:rPr>
        <w:t>29</w:t>
      </w:r>
      <w:r>
        <w:rPr>
          <w:rFonts w:hint="default" w:ascii="Times New Roman" w:hAnsi="Times New Roman" w:eastAsia="宋体" w:cs="Times New Roman"/>
        </w:rPr>
        <w:t>．定标方法</w:t>
      </w:r>
    </w:p>
    <w:p w14:paraId="2F6DD3F3">
      <w:pPr>
        <w:outlineLvl w:val="9"/>
        <w:rPr>
          <w:rFonts w:hint="default" w:ascii="Times New Roman" w:hAnsi="Times New Roman" w:eastAsia="宋体" w:cs="Times New Roman"/>
        </w:rPr>
      </w:pPr>
      <w:r>
        <w:rPr>
          <w:rFonts w:hint="eastAsia" w:cs="Times New Roman"/>
          <w:lang w:val="en-US" w:eastAsia="zh-CN"/>
        </w:rPr>
        <w:t>29</w:t>
      </w:r>
      <w:r>
        <w:rPr>
          <w:rFonts w:hint="default" w:ascii="Times New Roman" w:hAnsi="Times New Roman" w:eastAsia="宋体" w:cs="Times New Roman"/>
        </w:rPr>
        <w:t>.1 非评定分离项目定标方法</w:t>
      </w:r>
    </w:p>
    <w:p w14:paraId="44860C1E">
      <w:pPr>
        <w:rPr>
          <w:rFonts w:hint="default" w:ascii="Times New Roman" w:hAnsi="Times New Roman" w:eastAsia="宋体" w:cs="Times New Roman"/>
        </w:rPr>
      </w:pPr>
      <w:r>
        <w:rPr>
          <w:rFonts w:hint="eastAsia" w:cs="Times New Roman"/>
          <w:lang w:val="en-US" w:eastAsia="zh-CN"/>
        </w:rPr>
        <w:t>29</w:t>
      </w:r>
      <w:r>
        <w:rPr>
          <w:rFonts w:hint="default" w:ascii="Times New Roman" w:hAnsi="Times New Roman" w:eastAsia="宋体" w:cs="Times New Roman"/>
        </w:rPr>
        <w:t xml:space="preserve">.1.1 </w:t>
      </w:r>
      <w:r>
        <w:rPr>
          <w:rFonts w:hint="default" w:ascii="Times New Roman" w:hAnsi="Times New Roman" w:eastAsia="宋体" w:cs="Times New Roman"/>
          <w:lang w:eastAsia="zh-CN"/>
        </w:rPr>
        <w:t>评审委员会</w:t>
      </w:r>
      <w:r>
        <w:rPr>
          <w:rFonts w:hint="default" w:ascii="Times New Roman" w:hAnsi="Times New Roman" w:eastAsia="宋体" w:cs="Times New Roman"/>
        </w:rPr>
        <w:t>依据本项目采购文件所约定的评审方法进行评审和比较，向</w:t>
      </w:r>
      <w:r>
        <w:rPr>
          <w:rFonts w:hint="eastAsia" w:cs="Times New Roman"/>
          <w:lang w:eastAsia="zh-CN"/>
        </w:rPr>
        <w:t xml:space="preserve"> 深圳信德招标服务有限公司</w:t>
      </w:r>
      <w:r>
        <w:rPr>
          <w:rFonts w:hint="default" w:ascii="Times New Roman" w:hAnsi="Times New Roman" w:eastAsia="宋体" w:cs="Times New Roman"/>
        </w:rPr>
        <w:t>提交书面评审报告，并根据评审方法比较评价结果从优到劣进行排序，并推 荐中选候选人或确定中标人。</w:t>
      </w:r>
    </w:p>
    <w:p w14:paraId="0401400B">
      <w:pPr>
        <w:rPr>
          <w:rFonts w:hint="default" w:ascii="Times New Roman" w:hAnsi="Times New Roman" w:eastAsia="宋体" w:cs="Times New Roman"/>
        </w:rPr>
      </w:pPr>
      <w:r>
        <w:rPr>
          <w:rFonts w:hint="eastAsia" w:cs="Times New Roman"/>
          <w:lang w:val="en-US" w:eastAsia="zh-CN"/>
        </w:rPr>
        <w:t>29</w:t>
      </w:r>
      <w:r>
        <w:rPr>
          <w:rFonts w:hint="default" w:ascii="Times New Roman" w:hAnsi="Times New Roman" w:eastAsia="宋体" w:cs="Times New Roman"/>
        </w:rPr>
        <w:t>.1.2 采用最低评审价法的，评审结果按投标报价由低到高顺序排列。投标报价相同的并列。投标文件满足采购文件全部实质性要求且投标报价最低的投标人为排名第一的中选 候选人。</w:t>
      </w:r>
    </w:p>
    <w:p w14:paraId="426CA2B7">
      <w:pPr>
        <w:rPr>
          <w:rFonts w:hint="default" w:ascii="Times New Roman" w:hAnsi="Times New Roman" w:eastAsia="宋体" w:cs="Times New Roman"/>
        </w:rPr>
      </w:pPr>
      <w:r>
        <w:rPr>
          <w:rFonts w:hint="eastAsia" w:cs="Times New Roman"/>
          <w:lang w:val="en-US" w:eastAsia="zh-CN"/>
        </w:rPr>
        <w:t>29</w:t>
      </w:r>
      <w:r>
        <w:rPr>
          <w:rFonts w:hint="default" w:ascii="Times New Roman" w:hAnsi="Times New Roman" w:eastAsia="宋体" w:cs="Times New Roman"/>
        </w:rPr>
        <w:t>.1.3 采用综合评分法的，评审结果按评审后得分由高到低顺序排列。得分相同的， 按投标报价由低到高顺序排列。得分且投标报价相同的并列。投标文件满足采购文件全部实 质性要求，且按照评审因素的量化指标评审得分最高的投标人为排名第一的中选候选人。</w:t>
      </w:r>
    </w:p>
    <w:p w14:paraId="5D8E2646">
      <w:pPr>
        <w:outlineLvl w:val="9"/>
        <w:rPr>
          <w:rFonts w:hint="default" w:ascii="Times New Roman" w:hAnsi="Times New Roman" w:eastAsia="宋体" w:cs="Times New Roman"/>
        </w:rPr>
      </w:pPr>
      <w:r>
        <w:rPr>
          <w:rFonts w:hint="eastAsia" w:cs="Times New Roman"/>
          <w:lang w:val="en-US" w:eastAsia="zh-CN"/>
        </w:rPr>
        <w:t>29</w:t>
      </w:r>
      <w:r>
        <w:rPr>
          <w:rFonts w:hint="default" w:ascii="Times New Roman" w:hAnsi="Times New Roman" w:eastAsia="宋体" w:cs="Times New Roman"/>
        </w:rPr>
        <w:t>.2 评定分离项目定标方法</w:t>
      </w:r>
    </w:p>
    <w:p w14:paraId="74CC78CF">
      <w:pPr>
        <w:rPr>
          <w:rFonts w:hint="default" w:ascii="Times New Roman" w:hAnsi="Times New Roman" w:eastAsia="宋体" w:cs="Times New Roman"/>
        </w:rPr>
      </w:pPr>
      <w:r>
        <w:rPr>
          <w:rFonts w:hint="eastAsia" w:cs="Times New Roman"/>
          <w:lang w:val="en-US" w:eastAsia="zh-CN"/>
        </w:rPr>
        <w:t>29</w:t>
      </w:r>
      <w:r>
        <w:rPr>
          <w:rFonts w:hint="default" w:ascii="Times New Roman" w:hAnsi="Times New Roman" w:eastAsia="宋体" w:cs="Times New Roman"/>
        </w:rPr>
        <w:t>.2.1 本项目采用评审和定标分离办法，即</w:t>
      </w:r>
      <w:r>
        <w:rPr>
          <w:rFonts w:hint="default" w:ascii="Times New Roman" w:hAnsi="Times New Roman" w:eastAsia="宋体" w:cs="Times New Roman"/>
          <w:lang w:eastAsia="zh-CN"/>
        </w:rPr>
        <w:t>评审委员会</w:t>
      </w:r>
      <w:r>
        <w:rPr>
          <w:rFonts w:hint="default" w:ascii="Times New Roman" w:hAnsi="Times New Roman" w:eastAsia="宋体" w:cs="Times New Roman"/>
        </w:rPr>
        <w:t>按照本项目规定的评审方法对投 标文件进行评审、推荐候选中标人并出具书面评审报告，由采购人根据</w:t>
      </w:r>
      <w:r>
        <w:rPr>
          <w:rFonts w:hint="default" w:ascii="Times New Roman" w:hAnsi="Times New Roman" w:eastAsia="宋体" w:cs="Times New Roman"/>
          <w:lang w:eastAsia="zh-CN"/>
        </w:rPr>
        <w:t>评审委员会</w:t>
      </w:r>
      <w:r>
        <w:rPr>
          <w:rFonts w:hint="default" w:ascii="Times New Roman" w:hAnsi="Times New Roman" w:eastAsia="宋体" w:cs="Times New Roman"/>
        </w:rPr>
        <w:t>出具的评审 报告和推荐的候选中标人确定中标人。具体所采用的评审方法和定标方法（定标规则）详见 本采购文件关键信息中的《评审信息》和《定标方法》。</w:t>
      </w:r>
    </w:p>
    <w:p w14:paraId="5E7C4EF9">
      <w:pPr>
        <w:rPr>
          <w:rFonts w:hint="default" w:ascii="Times New Roman" w:hAnsi="Times New Roman" w:eastAsia="宋体" w:cs="Times New Roman"/>
        </w:rPr>
      </w:pPr>
      <w:r>
        <w:rPr>
          <w:rFonts w:hint="eastAsia" w:cs="Times New Roman"/>
          <w:lang w:val="en-US" w:eastAsia="zh-CN"/>
        </w:rPr>
        <w:t>29</w:t>
      </w:r>
      <w:r>
        <w:rPr>
          <w:rFonts w:hint="default" w:ascii="Times New Roman" w:hAnsi="Times New Roman" w:eastAsia="宋体" w:cs="Times New Roman"/>
        </w:rPr>
        <w:t>.2.2 采用“综合评分法 ”或“最低价法 ”评审方法的项目，</w:t>
      </w:r>
      <w:r>
        <w:rPr>
          <w:rFonts w:hint="default" w:ascii="Times New Roman" w:hAnsi="Times New Roman" w:eastAsia="宋体" w:cs="Times New Roman"/>
          <w:lang w:eastAsia="zh-CN"/>
        </w:rPr>
        <w:t>评审委员会</w:t>
      </w:r>
      <w:r>
        <w:rPr>
          <w:rFonts w:hint="default" w:ascii="Times New Roman" w:hAnsi="Times New Roman" w:eastAsia="宋体" w:cs="Times New Roman"/>
        </w:rPr>
        <w:t>按照评审结果， 推荐“N+2 ”数量（N 为需要的中标人数量，当有效投标人少于“N+2 ”时，全部推荐；N 的 具体数量由采购人在项目申报时确定）的候选中标人。采用“定性评审法 ”评审方法的项目， 所有递交投标文件不被判定为无效标的投标投标人，均推荐为候选中标人。采用“定性评审 法 ”评审方法的项目，所有递交的投标文件不被判定为无效标的投标投标人，均推荐为候选 中标人。</w:t>
      </w:r>
    </w:p>
    <w:p w14:paraId="04C6C9FD">
      <w:pPr>
        <w:outlineLvl w:val="9"/>
        <w:rPr>
          <w:rFonts w:hint="default" w:ascii="Times New Roman" w:hAnsi="Times New Roman" w:eastAsia="宋体" w:cs="Times New Roman"/>
        </w:rPr>
      </w:pPr>
      <w:r>
        <w:rPr>
          <w:rFonts w:hint="eastAsia" w:cs="Times New Roman"/>
          <w:lang w:val="en-US" w:eastAsia="zh-CN"/>
        </w:rPr>
        <w:t>29</w:t>
      </w:r>
      <w:r>
        <w:rPr>
          <w:rFonts w:hint="default" w:ascii="Times New Roman" w:hAnsi="Times New Roman" w:eastAsia="宋体" w:cs="Times New Roman"/>
        </w:rPr>
        <w:t>.2.3 采购人应当按照以下方法确定中标人：</w:t>
      </w:r>
    </w:p>
    <w:p w14:paraId="2B408CCC">
      <w:pPr>
        <w:rPr>
          <w:rFonts w:hint="default" w:ascii="Times New Roman" w:hAnsi="Times New Roman" w:eastAsia="宋体" w:cs="Times New Roman"/>
        </w:rPr>
      </w:pPr>
      <w:r>
        <w:rPr>
          <w:rFonts w:hint="default" w:ascii="Times New Roman" w:hAnsi="Times New Roman" w:eastAsia="宋体" w:cs="Times New Roman"/>
        </w:rPr>
        <w:fldChar w:fldCharType="begin"/>
      </w:r>
      <w:r>
        <w:rPr>
          <w:rFonts w:hint="default" w:ascii="Times New Roman" w:hAnsi="Times New Roman" w:eastAsia="宋体" w:cs="Times New Roman"/>
        </w:rPr>
        <w:instrText xml:space="preserve"> HYPERLINK "32.2.3.1" </w:instrText>
      </w:r>
      <w:r>
        <w:rPr>
          <w:rFonts w:hint="default" w:ascii="Times New Roman" w:hAnsi="Times New Roman" w:eastAsia="宋体" w:cs="Times New Roman"/>
        </w:rPr>
        <w:fldChar w:fldCharType="separate"/>
      </w:r>
      <w:r>
        <w:rPr>
          <w:rFonts w:hint="eastAsia" w:cs="Times New Roman"/>
          <w:lang w:val="en-US" w:eastAsia="zh-CN"/>
        </w:rPr>
        <w:t>29</w:t>
      </w:r>
      <w:r>
        <w:rPr>
          <w:rFonts w:hint="default" w:ascii="Times New Roman" w:hAnsi="Times New Roman" w:eastAsia="宋体" w:cs="Times New Roman"/>
        </w:rPr>
        <w:t>.2.3.1</w:t>
      </w:r>
      <w:r>
        <w:rPr>
          <w:rFonts w:hint="default" w:ascii="Times New Roman" w:hAnsi="Times New Roman" w:eastAsia="宋体" w:cs="Times New Roman"/>
        </w:rPr>
        <w:fldChar w:fldCharType="end"/>
      </w:r>
      <w:r>
        <w:rPr>
          <w:rFonts w:hint="default" w:ascii="Times New Roman" w:hAnsi="Times New Roman" w:eastAsia="宋体" w:cs="Times New Roman"/>
        </w:rPr>
        <w:t xml:space="preserve"> 自定法。 自定法是指采购人组织定标小组， 由定标小组在候选中标人中确定 中标人。</w:t>
      </w:r>
    </w:p>
    <w:p w14:paraId="42B32AAC">
      <w:pPr>
        <w:rPr>
          <w:rFonts w:hint="default" w:ascii="Times New Roman" w:hAnsi="Times New Roman" w:eastAsia="宋体" w:cs="Times New Roman"/>
        </w:rPr>
      </w:pPr>
      <w:r>
        <w:rPr>
          <w:rFonts w:hint="default" w:ascii="Times New Roman" w:hAnsi="Times New Roman" w:eastAsia="宋体" w:cs="Times New Roman"/>
        </w:rPr>
        <w:fldChar w:fldCharType="begin"/>
      </w:r>
      <w:r>
        <w:rPr>
          <w:rFonts w:hint="default" w:ascii="Times New Roman" w:hAnsi="Times New Roman" w:eastAsia="宋体" w:cs="Times New Roman"/>
        </w:rPr>
        <w:instrText xml:space="preserve"> HYPERLINK "36.2.3.2" </w:instrText>
      </w:r>
      <w:r>
        <w:rPr>
          <w:rFonts w:hint="default" w:ascii="Times New Roman" w:hAnsi="Times New Roman" w:eastAsia="宋体" w:cs="Times New Roman"/>
        </w:rPr>
        <w:fldChar w:fldCharType="separate"/>
      </w:r>
      <w:r>
        <w:rPr>
          <w:rFonts w:hint="eastAsia" w:cs="Times New Roman"/>
          <w:lang w:val="en-US" w:eastAsia="zh-CN"/>
        </w:rPr>
        <w:t>29</w:t>
      </w:r>
      <w:r>
        <w:rPr>
          <w:rFonts w:hint="default" w:ascii="Times New Roman" w:hAnsi="Times New Roman" w:eastAsia="宋体" w:cs="Times New Roman"/>
        </w:rPr>
        <w:t>.2.3.2</w:t>
      </w:r>
      <w:r>
        <w:rPr>
          <w:rFonts w:hint="default" w:ascii="Times New Roman" w:hAnsi="Times New Roman" w:eastAsia="宋体" w:cs="Times New Roman"/>
        </w:rPr>
        <w:fldChar w:fldCharType="end"/>
      </w:r>
      <w:r>
        <w:rPr>
          <w:rFonts w:hint="default" w:ascii="Times New Roman" w:hAnsi="Times New Roman" w:eastAsia="宋体" w:cs="Times New Roman"/>
        </w:rPr>
        <w:t xml:space="preserve"> 抽签法。抽签法是指候选中标人产生后， 由采购人委托</w:t>
      </w:r>
      <w:r>
        <w:rPr>
          <w:rFonts w:hint="eastAsia" w:cs="Times New Roman"/>
          <w:lang w:eastAsia="zh-CN"/>
        </w:rPr>
        <w:t xml:space="preserve"> 深圳信德招标服务有限公司</w:t>
      </w:r>
      <w:r>
        <w:rPr>
          <w:rFonts w:hint="default" w:ascii="Times New Roman" w:hAnsi="Times New Roman" w:eastAsia="宋体" w:cs="Times New Roman"/>
        </w:rPr>
        <w:t>按照随机抽签的方式在候选中标人中确定中标人。并由采购人和</w:t>
      </w:r>
      <w:r>
        <w:rPr>
          <w:rFonts w:hint="eastAsia" w:cs="Times New Roman"/>
          <w:lang w:eastAsia="zh-CN"/>
        </w:rPr>
        <w:t xml:space="preserve"> 深圳信德招标服务有限公司</w:t>
      </w:r>
      <w:r>
        <w:rPr>
          <w:rFonts w:hint="default" w:ascii="Times New Roman" w:hAnsi="Times New Roman" w:eastAsia="宋体" w:cs="Times New Roman"/>
        </w:rPr>
        <w:t>签字确认抽签结果。</w:t>
      </w:r>
    </w:p>
    <w:p w14:paraId="764D6790">
      <w:pPr>
        <w:outlineLvl w:val="9"/>
        <w:rPr>
          <w:rFonts w:hint="default" w:ascii="Times New Roman" w:hAnsi="Times New Roman" w:eastAsia="宋体" w:cs="Times New Roman"/>
        </w:rPr>
      </w:pPr>
      <w:r>
        <w:rPr>
          <w:rFonts w:hint="eastAsia" w:cs="Times New Roman"/>
          <w:lang w:val="en-US" w:eastAsia="zh-CN"/>
        </w:rPr>
        <w:t>29</w:t>
      </w:r>
      <w:r>
        <w:rPr>
          <w:rFonts w:hint="default" w:ascii="Times New Roman" w:hAnsi="Times New Roman" w:eastAsia="宋体" w:cs="Times New Roman"/>
        </w:rPr>
        <w:t>.3 专用条款另有规定的，按专用条款相关要求定标。</w:t>
      </w:r>
    </w:p>
    <w:p w14:paraId="66D03DC1">
      <w:pPr>
        <w:outlineLvl w:val="1"/>
        <w:rPr>
          <w:rFonts w:hint="default" w:ascii="Times New Roman" w:hAnsi="Times New Roman" w:eastAsia="宋体" w:cs="Times New Roman"/>
        </w:rPr>
      </w:pPr>
      <w:r>
        <w:rPr>
          <w:rFonts w:hint="eastAsia" w:cs="Times New Roman"/>
          <w:lang w:val="en-US" w:eastAsia="zh-CN"/>
        </w:rPr>
        <w:t>30</w:t>
      </w:r>
      <w:r>
        <w:rPr>
          <w:rFonts w:hint="default" w:ascii="Times New Roman" w:hAnsi="Times New Roman" w:eastAsia="宋体" w:cs="Times New Roman"/>
        </w:rPr>
        <w:t>．编写评审报告</w:t>
      </w:r>
    </w:p>
    <w:p w14:paraId="4CEAC00A">
      <w:pPr>
        <w:rPr>
          <w:rFonts w:hint="default" w:ascii="Times New Roman" w:hAnsi="Times New Roman" w:eastAsia="宋体" w:cs="Times New Roman"/>
        </w:rPr>
      </w:pPr>
      <w:r>
        <w:rPr>
          <w:rFonts w:hint="default" w:ascii="Times New Roman" w:hAnsi="Times New Roman" w:eastAsia="宋体" w:cs="Times New Roman"/>
        </w:rPr>
        <w:t>评审报告是</w:t>
      </w:r>
      <w:r>
        <w:rPr>
          <w:rFonts w:hint="default" w:ascii="Times New Roman" w:hAnsi="Times New Roman" w:eastAsia="宋体" w:cs="Times New Roman"/>
          <w:lang w:eastAsia="zh-CN"/>
        </w:rPr>
        <w:t>评审委员会</w:t>
      </w:r>
      <w:r>
        <w:rPr>
          <w:rFonts w:hint="default" w:ascii="Times New Roman" w:hAnsi="Times New Roman" w:eastAsia="宋体" w:cs="Times New Roman"/>
        </w:rPr>
        <w:t>根据全体评审成员签字的原始评审记录和评审结果编写的报告，评 审报告由</w:t>
      </w:r>
      <w:r>
        <w:rPr>
          <w:rFonts w:hint="default" w:ascii="Times New Roman" w:hAnsi="Times New Roman" w:eastAsia="宋体" w:cs="Times New Roman"/>
          <w:lang w:eastAsia="zh-CN"/>
        </w:rPr>
        <w:t>评审委员会</w:t>
      </w:r>
      <w:r>
        <w:rPr>
          <w:rFonts w:hint="default" w:ascii="Times New Roman" w:hAnsi="Times New Roman" w:eastAsia="宋体" w:cs="Times New Roman"/>
        </w:rPr>
        <w:t>全体成员签字。对评审结论持有异议的</w:t>
      </w:r>
      <w:r>
        <w:rPr>
          <w:rFonts w:hint="default" w:ascii="Times New Roman" w:hAnsi="Times New Roman" w:eastAsia="宋体" w:cs="Times New Roman"/>
          <w:lang w:eastAsia="zh-CN"/>
        </w:rPr>
        <w:t>评审委员会</w:t>
      </w:r>
      <w:r>
        <w:rPr>
          <w:rFonts w:hint="default" w:ascii="Times New Roman" w:hAnsi="Times New Roman" w:eastAsia="宋体" w:cs="Times New Roman"/>
        </w:rPr>
        <w:t>成员可以书面方式阐述其 不同意见和理由。</w:t>
      </w:r>
      <w:r>
        <w:rPr>
          <w:rFonts w:hint="default" w:ascii="Times New Roman" w:hAnsi="Times New Roman" w:eastAsia="宋体" w:cs="Times New Roman"/>
          <w:lang w:eastAsia="zh-CN"/>
        </w:rPr>
        <w:t>评审委员会</w:t>
      </w:r>
      <w:r>
        <w:rPr>
          <w:rFonts w:hint="default" w:ascii="Times New Roman" w:hAnsi="Times New Roman" w:eastAsia="宋体" w:cs="Times New Roman"/>
        </w:rPr>
        <w:t>成员拒绝在评审报告上签字且不陈述其不同意见和理由的，视为 同意评审结论。</w:t>
      </w:r>
      <w:r>
        <w:rPr>
          <w:rFonts w:hint="default" w:ascii="Times New Roman" w:hAnsi="Times New Roman" w:eastAsia="宋体" w:cs="Times New Roman"/>
          <w:lang w:eastAsia="zh-CN"/>
        </w:rPr>
        <w:t>评审委员会</w:t>
      </w:r>
      <w:r>
        <w:rPr>
          <w:rFonts w:hint="default" w:ascii="Times New Roman" w:hAnsi="Times New Roman" w:eastAsia="宋体" w:cs="Times New Roman"/>
        </w:rPr>
        <w:t>应当对此作出书面说明并记录在案。</w:t>
      </w:r>
    </w:p>
    <w:p w14:paraId="162744D5">
      <w:pPr>
        <w:outlineLvl w:val="1"/>
        <w:rPr>
          <w:rFonts w:hint="default" w:ascii="Times New Roman" w:hAnsi="Times New Roman" w:eastAsia="宋体" w:cs="Times New Roman"/>
        </w:rPr>
      </w:pPr>
      <w:r>
        <w:rPr>
          <w:rFonts w:hint="eastAsia" w:cs="Times New Roman"/>
          <w:lang w:val="en-US" w:eastAsia="zh-CN"/>
        </w:rPr>
        <w:t>31</w:t>
      </w:r>
      <w:r>
        <w:rPr>
          <w:rFonts w:hint="default" w:ascii="Times New Roman" w:hAnsi="Times New Roman" w:eastAsia="宋体" w:cs="Times New Roman"/>
        </w:rPr>
        <w:t>．中选公告</w:t>
      </w:r>
    </w:p>
    <w:p w14:paraId="0C0F95E1">
      <w:pPr>
        <w:rPr>
          <w:rFonts w:hint="default" w:ascii="Times New Roman" w:hAnsi="Times New Roman" w:eastAsia="宋体" w:cs="Times New Roman"/>
        </w:rPr>
      </w:pPr>
      <w:r>
        <w:rPr>
          <w:rFonts w:hint="default" w:ascii="Times New Roman" w:hAnsi="Times New Roman" w:eastAsia="宋体" w:cs="Times New Roman"/>
        </w:rPr>
        <w:t>3</w:t>
      </w:r>
      <w:r>
        <w:rPr>
          <w:rFonts w:hint="eastAsia" w:cs="Times New Roman"/>
          <w:lang w:val="en-US" w:eastAsia="zh-CN"/>
        </w:rPr>
        <w:t>1</w:t>
      </w:r>
      <w:r>
        <w:rPr>
          <w:rFonts w:hint="default" w:ascii="Times New Roman" w:hAnsi="Times New Roman" w:eastAsia="宋体" w:cs="Times New Roman"/>
        </w:rPr>
        <w:t>.1 为体现“公开、公平、公正 ”的原则，评审结束后，</w:t>
      </w:r>
      <w:r>
        <w:rPr>
          <w:rFonts w:hint="eastAsia" w:ascii="Times New Roman" w:hAnsi="Times New Roman" w:eastAsia="宋体" w:cs="Times New Roman"/>
          <w:lang w:eastAsia="zh-CN"/>
        </w:rPr>
        <w:t xml:space="preserve"> 深圳信德招标服务有限公司</w:t>
      </w:r>
      <w:r>
        <w:rPr>
          <w:rFonts w:hint="default" w:ascii="Times New Roman" w:hAnsi="Times New Roman" w:eastAsia="宋体" w:cs="Times New Roman"/>
        </w:rPr>
        <w:t>将 在</w:t>
      </w:r>
      <w:r>
        <w:rPr>
          <w:rFonts w:hint="eastAsia" w:ascii="Times New Roman" w:hAnsi="Times New Roman" w:eastAsia="宋体" w:cs="Times New Roman"/>
          <w:lang w:eastAsia="zh-CN"/>
        </w:rPr>
        <w:t>深圳信德招标服务有限公司</w:t>
      </w:r>
      <w:r>
        <w:rPr>
          <w:rFonts w:hint="eastAsia" w:ascii="Times New Roman" w:hAnsi="Times New Roman" w:eastAsia="宋体" w:cs="Times New Roman"/>
          <w:lang w:val="en-US" w:eastAsia="zh-CN"/>
        </w:rPr>
        <w:t>官网</w:t>
      </w:r>
      <w:r>
        <w:rPr>
          <w:rFonts w:hint="default" w:ascii="Times New Roman" w:hAnsi="Times New Roman" w:eastAsia="宋体" w:cs="Times New Roman"/>
        </w:rPr>
        <w:t>（http://www.xindezb.com）上发布中选结果公告并公示。投标人如对评审结果有异议，请于公示期内，以书面向</w:t>
      </w:r>
      <w:r>
        <w:rPr>
          <w:rFonts w:hint="eastAsia" w:cs="Times New Roman"/>
          <w:lang w:eastAsia="zh-CN"/>
        </w:rPr>
        <w:t xml:space="preserve"> 深圳信德招标服务有限公司</w:t>
      </w:r>
      <w:r>
        <w:rPr>
          <w:rFonts w:hint="default" w:ascii="Times New Roman" w:hAnsi="Times New Roman" w:eastAsia="宋体" w:cs="Times New Roman"/>
        </w:rPr>
        <w:t>反映。若在公示期内 未提出异议，则视为认同该评审结果。</w:t>
      </w:r>
    </w:p>
    <w:p w14:paraId="51D0CDB5">
      <w:pPr>
        <w:outlineLvl w:val="1"/>
        <w:rPr>
          <w:rFonts w:hint="default" w:ascii="Times New Roman" w:hAnsi="Times New Roman" w:eastAsia="宋体" w:cs="Times New Roman"/>
        </w:rPr>
      </w:pPr>
      <w:r>
        <w:rPr>
          <w:rFonts w:hint="default" w:ascii="Times New Roman" w:hAnsi="Times New Roman" w:eastAsia="宋体" w:cs="Times New Roman"/>
        </w:rPr>
        <w:t>3</w:t>
      </w:r>
      <w:r>
        <w:rPr>
          <w:rFonts w:hint="eastAsia" w:cs="Times New Roman"/>
          <w:lang w:val="en-US" w:eastAsia="zh-CN"/>
        </w:rPr>
        <w:t>2</w:t>
      </w:r>
      <w:r>
        <w:rPr>
          <w:rFonts w:hint="default" w:ascii="Times New Roman" w:hAnsi="Times New Roman" w:eastAsia="宋体" w:cs="Times New Roman"/>
        </w:rPr>
        <w:t>．中选通知书</w:t>
      </w:r>
    </w:p>
    <w:p w14:paraId="0985C919">
      <w:pPr>
        <w:rPr>
          <w:rFonts w:hint="default" w:ascii="Times New Roman" w:hAnsi="Times New Roman" w:eastAsia="宋体" w:cs="Times New Roman"/>
        </w:rPr>
      </w:pPr>
      <w:r>
        <w:rPr>
          <w:rFonts w:hint="default" w:ascii="Times New Roman" w:hAnsi="Times New Roman" w:eastAsia="宋体" w:cs="Times New Roman"/>
        </w:rPr>
        <w:t>3</w:t>
      </w:r>
      <w:r>
        <w:rPr>
          <w:rFonts w:hint="eastAsia" w:cs="Times New Roman"/>
          <w:lang w:val="en-US" w:eastAsia="zh-CN"/>
        </w:rPr>
        <w:t>2</w:t>
      </w:r>
      <w:r>
        <w:rPr>
          <w:rFonts w:hint="default" w:ascii="Times New Roman" w:hAnsi="Times New Roman" w:eastAsia="宋体" w:cs="Times New Roman"/>
        </w:rPr>
        <w:t>.1 中选公告公布以后,公示期内无人质疑投诉,请中标人和采购单位凭单位证明及本 人身份证直接到</w:t>
      </w:r>
      <w:r>
        <w:rPr>
          <w:rFonts w:hint="eastAsia" w:cs="Times New Roman"/>
          <w:lang w:eastAsia="zh-CN"/>
        </w:rPr>
        <w:t xml:space="preserve"> 深圳信德招标服务有限公司</w:t>
      </w:r>
      <w:r>
        <w:rPr>
          <w:rFonts w:hint="default" w:ascii="Times New Roman" w:hAnsi="Times New Roman" w:eastAsia="宋体" w:cs="Times New Roman"/>
        </w:rPr>
        <w:t>领取《中选通知书》。</w:t>
      </w:r>
    </w:p>
    <w:p w14:paraId="715C0291">
      <w:pPr>
        <w:outlineLvl w:val="9"/>
        <w:rPr>
          <w:rFonts w:hint="default" w:ascii="Times New Roman" w:hAnsi="Times New Roman" w:eastAsia="宋体" w:cs="Times New Roman"/>
        </w:rPr>
      </w:pPr>
      <w:r>
        <w:rPr>
          <w:rFonts w:hint="default" w:ascii="Times New Roman" w:hAnsi="Times New Roman" w:eastAsia="宋体" w:cs="Times New Roman"/>
        </w:rPr>
        <w:t>3</w:t>
      </w:r>
      <w:r>
        <w:rPr>
          <w:rFonts w:hint="eastAsia" w:cs="Times New Roman"/>
          <w:lang w:val="en-US" w:eastAsia="zh-CN"/>
        </w:rPr>
        <w:t>2</w:t>
      </w:r>
      <w:r>
        <w:rPr>
          <w:rFonts w:hint="default" w:ascii="Times New Roman" w:hAnsi="Times New Roman" w:eastAsia="宋体" w:cs="Times New Roman"/>
        </w:rPr>
        <w:t>.2 中选通知书是合同的重要组成部分。</w:t>
      </w:r>
    </w:p>
    <w:p w14:paraId="5897ED52">
      <w:pPr>
        <w:rPr>
          <w:rFonts w:hint="default" w:ascii="Times New Roman" w:hAnsi="Times New Roman" w:eastAsia="宋体" w:cs="Times New Roman"/>
        </w:rPr>
      </w:pPr>
      <w:r>
        <w:rPr>
          <w:rFonts w:hint="default" w:ascii="Times New Roman" w:hAnsi="Times New Roman" w:eastAsia="宋体" w:cs="Times New Roman"/>
        </w:rPr>
        <w:t>3</w:t>
      </w:r>
      <w:r>
        <w:rPr>
          <w:rFonts w:hint="eastAsia" w:cs="Times New Roman"/>
          <w:lang w:val="en-US" w:eastAsia="zh-CN"/>
        </w:rPr>
        <w:t>2</w:t>
      </w:r>
      <w:r>
        <w:rPr>
          <w:rFonts w:hint="default" w:ascii="Times New Roman" w:hAnsi="Times New Roman" w:eastAsia="宋体" w:cs="Times New Roman"/>
        </w:rPr>
        <w:t>.3 因质疑投诉或其它原因导致项目结果变更或采购终止的，</w:t>
      </w:r>
      <w:r>
        <w:rPr>
          <w:rFonts w:hint="eastAsia" w:cs="Times New Roman"/>
          <w:lang w:eastAsia="zh-CN"/>
        </w:rPr>
        <w:t xml:space="preserve"> 深圳信德招标服务有限公司</w:t>
      </w:r>
      <w:r>
        <w:rPr>
          <w:rFonts w:hint="default" w:ascii="Times New Roman" w:hAnsi="Times New Roman" w:eastAsia="宋体" w:cs="Times New Roman"/>
        </w:rPr>
        <w:t>有权收回或作废中选通知书。</w:t>
      </w:r>
    </w:p>
    <w:p w14:paraId="743330AF">
      <w:pPr>
        <w:rPr>
          <w:rFonts w:hint="default" w:ascii="Times New Roman" w:hAnsi="Times New Roman" w:eastAsia="宋体" w:cs="Times New Roman"/>
        </w:rPr>
      </w:pPr>
    </w:p>
    <w:p w14:paraId="0803B5E9">
      <w:pPr>
        <w:jc w:val="center"/>
        <w:outlineLvl w:val="0"/>
        <w:rPr>
          <w:rFonts w:hint="default" w:ascii="Times New Roman" w:hAnsi="Times New Roman" w:eastAsia="宋体" w:cs="Times New Roman"/>
          <w:b/>
          <w:bCs/>
          <w:sz w:val="32"/>
          <w:szCs w:val="32"/>
        </w:rPr>
      </w:pPr>
      <w:bookmarkStart w:id="105" w:name="bookmark105"/>
      <w:bookmarkEnd w:id="105"/>
      <w:bookmarkStart w:id="106" w:name="bookmark104"/>
      <w:bookmarkEnd w:id="106"/>
      <w:r>
        <w:rPr>
          <w:rFonts w:hint="default" w:ascii="Times New Roman" w:hAnsi="Times New Roman" w:eastAsia="宋体" w:cs="Times New Roman"/>
          <w:b/>
          <w:bCs/>
          <w:sz w:val="32"/>
          <w:szCs w:val="32"/>
        </w:rPr>
        <w:t>第九章 公开采购失败的后续处理</w:t>
      </w:r>
    </w:p>
    <w:p w14:paraId="6F16C704">
      <w:pPr>
        <w:outlineLvl w:val="1"/>
        <w:rPr>
          <w:rFonts w:hint="default" w:ascii="Times New Roman" w:hAnsi="Times New Roman" w:eastAsia="宋体" w:cs="Times New Roman"/>
        </w:rPr>
      </w:pPr>
      <w:r>
        <w:rPr>
          <w:rFonts w:hint="default" w:ascii="Times New Roman" w:hAnsi="Times New Roman" w:eastAsia="宋体" w:cs="Times New Roman"/>
        </w:rPr>
        <w:t>3</w:t>
      </w:r>
      <w:r>
        <w:rPr>
          <w:rFonts w:hint="eastAsia" w:cs="Times New Roman"/>
          <w:lang w:val="en-US" w:eastAsia="zh-CN"/>
        </w:rPr>
        <w:t>3</w:t>
      </w:r>
      <w:r>
        <w:rPr>
          <w:rFonts w:hint="default" w:ascii="Times New Roman" w:hAnsi="Times New Roman" w:eastAsia="宋体" w:cs="Times New Roman"/>
        </w:rPr>
        <w:t>．公开采购失败的处理</w:t>
      </w:r>
    </w:p>
    <w:p w14:paraId="05939DE1">
      <w:pPr>
        <w:rPr>
          <w:rFonts w:hint="default" w:ascii="Times New Roman" w:hAnsi="Times New Roman" w:eastAsia="宋体" w:cs="Times New Roman"/>
        </w:rPr>
      </w:pPr>
      <w:r>
        <w:rPr>
          <w:rFonts w:hint="default" w:ascii="Times New Roman" w:hAnsi="Times New Roman" w:eastAsia="宋体" w:cs="Times New Roman"/>
        </w:rPr>
        <w:t>3</w:t>
      </w:r>
      <w:r>
        <w:rPr>
          <w:rFonts w:hint="eastAsia" w:cs="Times New Roman"/>
          <w:lang w:val="en-US" w:eastAsia="zh-CN"/>
        </w:rPr>
        <w:t>3</w:t>
      </w:r>
      <w:r>
        <w:rPr>
          <w:rFonts w:hint="default" w:ascii="Times New Roman" w:hAnsi="Times New Roman" w:eastAsia="宋体" w:cs="Times New Roman"/>
        </w:rPr>
        <w:t>.1 本项目公开采购过程中若由于投标截止后实际递交投标文件的投标人数量不足、 经</w:t>
      </w:r>
      <w:r>
        <w:rPr>
          <w:rFonts w:hint="default" w:ascii="Times New Roman" w:hAnsi="Times New Roman" w:eastAsia="宋体" w:cs="Times New Roman"/>
          <w:lang w:eastAsia="zh-CN"/>
        </w:rPr>
        <w:t>评审委员会</w:t>
      </w:r>
      <w:r>
        <w:rPr>
          <w:rFonts w:hint="default" w:ascii="Times New Roman" w:hAnsi="Times New Roman" w:eastAsia="宋体" w:cs="Times New Roman"/>
        </w:rPr>
        <w:t>评审对采购文件作实质投标的投标人不足等原因造成公开采购失败，可由</w:t>
      </w:r>
      <w:r>
        <w:rPr>
          <w:rFonts w:hint="eastAsia" w:cs="Times New Roman"/>
          <w:lang w:val="en-US" w:eastAsia="zh-CN"/>
        </w:rPr>
        <w:t>深圳市龙华区中心医院</w:t>
      </w:r>
      <w:r>
        <w:rPr>
          <w:rFonts w:hint="default" w:ascii="Times New Roman" w:hAnsi="Times New Roman" w:eastAsia="宋体" w:cs="Times New Roman"/>
        </w:rPr>
        <w:t>招标采购组重新组织采购。若中标供应商因故弃标或被中标资格被依法认定无效，且 项目紧急重新采购无法满足需求的，采购人可以按照评审报告推荐的中标候选人名单排序， 确定下一候选人为中标供应商。</w:t>
      </w:r>
    </w:p>
    <w:p w14:paraId="7608E406">
      <w:pPr>
        <w:rPr>
          <w:rFonts w:hint="default" w:ascii="Times New Roman" w:hAnsi="Times New Roman" w:eastAsia="宋体" w:cs="Times New Roman"/>
        </w:rPr>
      </w:pPr>
      <w:r>
        <w:rPr>
          <w:rFonts w:hint="default" w:ascii="Times New Roman" w:hAnsi="Times New Roman" w:eastAsia="宋体" w:cs="Times New Roman"/>
        </w:rPr>
        <w:t>3</w:t>
      </w:r>
      <w:r>
        <w:rPr>
          <w:rFonts w:hint="eastAsia" w:cs="Times New Roman"/>
          <w:lang w:val="en-US" w:eastAsia="zh-CN"/>
        </w:rPr>
        <w:t>3</w:t>
      </w:r>
      <w:r>
        <w:rPr>
          <w:rFonts w:hint="default" w:ascii="Times New Roman" w:hAnsi="Times New Roman" w:eastAsia="宋体" w:cs="Times New Roman"/>
        </w:rPr>
        <w:t>.2 对公开采购失败的项目，</w:t>
      </w:r>
      <w:r>
        <w:rPr>
          <w:rFonts w:hint="default" w:ascii="Times New Roman" w:hAnsi="Times New Roman" w:eastAsia="宋体" w:cs="Times New Roman"/>
          <w:lang w:eastAsia="zh-CN"/>
        </w:rPr>
        <w:t>评审委员会</w:t>
      </w:r>
      <w:r>
        <w:rPr>
          <w:rFonts w:hint="default" w:ascii="Times New Roman" w:hAnsi="Times New Roman" w:eastAsia="宋体" w:cs="Times New Roman"/>
        </w:rPr>
        <w:t>在出具该项目采购失败结论的同时，提出重新 采购组织形式的建议， 以及进一步完善采购文件的资格、技术、商务要求的修改建议。</w:t>
      </w:r>
    </w:p>
    <w:p w14:paraId="0AF019C4">
      <w:pPr>
        <w:rPr>
          <w:rFonts w:hint="default" w:ascii="Times New Roman" w:hAnsi="Times New Roman" w:eastAsia="宋体" w:cs="Times New Roman"/>
        </w:rPr>
      </w:pPr>
    </w:p>
    <w:p w14:paraId="50AA6E9F">
      <w:pPr>
        <w:jc w:val="center"/>
        <w:outlineLvl w:val="0"/>
        <w:rPr>
          <w:rFonts w:hint="default" w:ascii="Times New Roman" w:hAnsi="Times New Roman" w:eastAsia="宋体" w:cs="Times New Roman"/>
          <w:b/>
          <w:bCs/>
          <w:sz w:val="32"/>
          <w:szCs w:val="32"/>
        </w:rPr>
      </w:pPr>
      <w:bookmarkStart w:id="107" w:name="bookmark106"/>
      <w:bookmarkEnd w:id="107"/>
      <w:bookmarkStart w:id="108" w:name="bookmark107"/>
      <w:bookmarkEnd w:id="108"/>
      <w:r>
        <w:rPr>
          <w:rFonts w:hint="default" w:ascii="Times New Roman" w:hAnsi="Times New Roman" w:eastAsia="宋体" w:cs="Times New Roman"/>
          <w:b/>
          <w:bCs/>
          <w:sz w:val="32"/>
          <w:szCs w:val="32"/>
        </w:rPr>
        <w:t>第十章 合同的授予与备案</w:t>
      </w:r>
    </w:p>
    <w:p w14:paraId="1948719B">
      <w:pPr>
        <w:outlineLvl w:val="1"/>
        <w:rPr>
          <w:rFonts w:hint="default" w:ascii="Times New Roman" w:hAnsi="Times New Roman" w:eastAsia="宋体" w:cs="Times New Roman"/>
        </w:rPr>
      </w:pPr>
      <w:r>
        <w:rPr>
          <w:rFonts w:hint="eastAsia" w:cs="Times New Roman"/>
          <w:lang w:val="en-US" w:eastAsia="zh-CN"/>
        </w:rPr>
        <w:t>34</w:t>
      </w:r>
      <w:r>
        <w:rPr>
          <w:rFonts w:hint="default" w:ascii="Times New Roman" w:hAnsi="Times New Roman" w:eastAsia="宋体" w:cs="Times New Roman"/>
        </w:rPr>
        <w:t>．合同授予标准</w:t>
      </w:r>
    </w:p>
    <w:p w14:paraId="603EFCA8">
      <w:pPr>
        <w:rPr>
          <w:rFonts w:hint="default" w:ascii="Times New Roman" w:hAnsi="Times New Roman" w:eastAsia="宋体" w:cs="Times New Roman"/>
        </w:rPr>
      </w:pPr>
      <w:r>
        <w:rPr>
          <w:rFonts w:hint="default" w:ascii="Times New Roman" w:hAnsi="Times New Roman" w:eastAsia="宋体" w:cs="Times New Roman"/>
        </w:rPr>
        <w:t>本项目的合同将授予按本采购文件规定评审确定的中标人。</w:t>
      </w:r>
    </w:p>
    <w:p w14:paraId="48B614AC">
      <w:pPr>
        <w:outlineLvl w:val="1"/>
        <w:rPr>
          <w:rFonts w:hint="default" w:ascii="Times New Roman" w:hAnsi="Times New Roman" w:eastAsia="宋体" w:cs="Times New Roman"/>
        </w:rPr>
      </w:pPr>
      <w:r>
        <w:rPr>
          <w:rFonts w:hint="default" w:ascii="Times New Roman" w:hAnsi="Times New Roman" w:eastAsia="宋体" w:cs="Times New Roman"/>
        </w:rPr>
        <w:t>3</w:t>
      </w:r>
      <w:r>
        <w:rPr>
          <w:rFonts w:hint="eastAsia" w:cs="Times New Roman"/>
          <w:lang w:val="en-US" w:eastAsia="zh-CN"/>
        </w:rPr>
        <w:t>5</w:t>
      </w:r>
      <w:r>
        <w:rPr>
          <w:rFonts w:hint="default" w:ascii="Times New Roman" w:hAnsi="Times New Roman" w:eastAsia="宋体" w:cs="Times New Roman"/>
        </w:rPr>
        <w:t>．接受和拒绝任何或所有投标的权力</w:t>
      </w:r>
    </w:p>
    <w:p w14:paraId="192016B4">
      <w:pPr>
        <w:rPr>
          <w:rFonts w:hint="default" w:ascii="Times New Roman" w:hAnsi="Times New Roman" w:eastAsia="宋体" w:cs="Times New Roman"/>
        </w:rPr>
      </w:pPr>
      <w:r>
        <w:rPr>
          <w:rFonts w:hint="eastAsia" w:cs="Times New Roman"/>
          <w:lang w:eastAsia="zh-CN"/>
        </w:rPr>
        <w:t xml:space="preserve"> 深圳信德招标服务有限公司</w:t>
      </w:r>
      <w:r>
        <w:rPr>
          <w:rFonts w:hint="default" w:ascii="Times New Roman" w:hAnsi="Times New Roman" w:eastAsia="宋体" w:cs="Times New Roman"/>
        </w:rPr>
        <w:t>和采购人保留在投标之前任何时候接受或拒绝任何投标或所 有投标，以及宣布采购无效的权力，对受影响的投标人不承担任何责任，也无义务向受影响 的投标投标人解释采取这一行动的理由。</w:t>
      </w:r>
    </w:p>
    <w:p w14:paraId="2089B98B">
      <w:pPr>
        <w:outlineLvl w:val="1"/>
        <w:rPr>
          <w:rFonts w:hint="default" w:ascii="Times New Roman" w:hAnsi="Times New Roman" w:eastAsia="宋体" w:cs="Times New Roman"/>
        </w:rPr>
      </w:pPr>
      <w:r>
        <w:rPr>
          <w:rFonts w:hint="default" w:ascii="Times New Roman" w:hAnsi="Times New Roman" w:eastAsia="宋体" w:cs="Times New Roman"/>
        </w:rPr>
        <w:t>3</w:t>
      </w:r>
      <w:r>
        <w:rPr>
          <w:rFonts w:hint="eastAsia" w:cs="Times New Roman"/>
          <w:lang w:val="en-US" w:eastAsia="zh-CN"/>
        </w:rPr>
        <w:t>6</w:t>
      </w:r>
      <w:r>
        <w:rPr>
          <w:rFonts w:hint="default" w:ascii="Times New Roman" w:hAnsi="Times New Roman" w:eastAsia="宋体" w:cs="Times New Roman"/>
        </w:rPr>
        <w:t>．合同协议书的签订</w:t>
      </w:r>
    </w:p>
    <w:p w14:paraId="09135D5D">
      <w:pPr>
        <w:rPr>
          <w:rFonts w:hint="default" w:ascii="Times New Roman" w:hAnsi="Times New Roman" w:eastAsia="宋体" w:cs="Times New Roman"/>
        </w:rPr>
      </w:pPr>
      <w:r>
        <w:rPr>
          <w:rFonts w:hint="default" w:ascii="Times New Roman" w:hAnsi="Times New Roman" w:eastAsia="宋体" w:cs="Times New Roman"/>
        </w:rPr>
        <w:t>3</w:t>
      </w:r>
      <w:r>
        <w:rPr>
          <w:rFonts w:hint="eastAsia" w:cs="Times New Roman"/>
          <w:lang w:val="en-US" w:eastAsia="zh-CN"/>
        </w:rPr>
        <w:t>6</w:t>
      </w:r>
      <w:r>
        <w:rPr>
          <w:rFonts w:hint="default" w:ascii="Times New Roman" w:hAnsi="Times New Roman" w:eastAsia="宋体" w:cs="Times New Roman"/>
        </w:rPr>
        <w:t>.1 中标人将于《中标通知书》发出之日起十个工作日内，按照采购文件（采购文件 和投标文件等）内容与采购人签订政府采购合同；合同的实质性内容应当符合采购文件的规 定；</w:t>
      </w:r>
    </w:p>
    <w:p w14:paraId="67B9DC21">
      <w:pPr>
        <w:rPr>
          <w:rFonts w:hint="default" w:ascii="Times New Roman" w:hAnsi="Times New Roman" w:eastAsia="宋体" w:cs="Times New Roman"/>
        </w:rPr>
      </w:pPr>
      <w:r>
        <w:rPr>
          <w:rFonts w:hint="default" w:ascii="Times New Roman" w:hAnsi="Times New Roman" w:eastAsia="宋体" w:cs="Times New Roman"/>
        </w:rPr>
        <w:t>3</w:t>
      </w:r>
      <w:r>
        <w:rPr>
          <w:rFonts w:hint="eastAsia" w:cs="Times New Roman"/>
          <w:lang w:val="en-US" w:eastAsia="zh-CN"/>
        </w:rPr>
        <w:t>6</w:t>
      </w:r>
      <w:r>
        <w:rPr>
          <w:rFonts w:hint="default" w:ascii="Times New Roman" w:hAnsi="Times New Roman" w:eastAsia="宋体" w:cs="Times New Roman"/>
        </w:rPr>
        <w:t>.3 中标人应当按照合同约定履行义务，完成中选项目，不得将中选项目转让（转包）给他人。</w:t>
      </w:r>
    </w:p>
    <w:p w14:paraId="7AE84D2A">
      <w:pPr>
        <w:outlineLvl w:val="1"/>
        <w:rPr>
          <w:rFonts w:hint="default" w:ascii="Times New Roman" w:hAnsi="Times New Roman" w:eastAsia="宋体" w:cs="Times New Roman"/>
        </w:rPr>
      </w:pPr>
      <w:r>
        <w:rPr>
          <w:rFonts w:hint="eastAsia" w:cs="Times New Roman"/>
          <w:lang w:val="en-US" w:eastAsia="zh-CN"/>
        </w:rPr>
        <w:t>37</w:t>
      </w:r>
      <w:r>
        <w:rPr>
          <w:rFonts w:hint="default" w:ascii="Times New Roman" w:hAnsi="Times New Roman" w:eastAsia="宋体" w:cs="Times New Roman"/>
        </w:rPr>
        <w:t>.合同的备案</w:t>
      </w:r>
    </w:p>
    <w:p w14:paraId="3C4AEBE6">
      <w:pPr>
        <w:rPr>
          <w:rFonts w:hint="default" w:ascii="Times New Roman" w:hAnsi="Times New Roman" w:eastAsia="宋体" w:cs="Times New Roman"/>
        </w:rPr>
      </w:pPr>
      <w:r>
        <w:rPr>
          <w:rFonts w:hint="default" w:ascii="Times New Roman" w:hAnsi="Times New Roman" w:eastAsia="宋体" w:cs="Times New Roman"/>
        </w:rPr>
        <w:t>采购人与中标人应于合同签订之日起十日内，由采购人或委托中标人将采购合同上传至</w:t>
      </w:r>
      <w:r>
        <w:rPr>
          <w:rFonts w:hint="eastAsia" w:cs="Times New Roman"/>
          <w:lang w:val="en-US" w:eastAsia="zh-CN"/>
        </w:rPr>
        <w:t>深圳市龙华区中心医院</w:t>
      </w:r>
      <w:r>
        <w:rPr>
          <w:rFonts w:hint="default" w:ascii="Times New Roman" w:hAnsi="Times New Roman" w:eastAsia="宋体" w:cs="Times New Roman"/>
        </w:rPr>
        <w:t>招标采购管理系统备案。</w:t>
      </w:r>
    </w:p>
    <w:p w14:paraId="6A08BE13">
      <w:pPr>
        <w:outlineLvl w:val="1"/>
        <w:rPr>
          <w:rFonts w:hint="default" w:ascii="Times New Roman" w:hAnsi="Times New Roman" w:eastAsia="宋体" w:cs="Times New Roman"/>
        </w:rPr>
      </w:pPr>
      <w:r>
        <w:rPr>
          <w:rFonts w:hint="eastAsia" w:cs="Times New Roman"/>
          <w:lang w:val="en-US" w:eastAsia="zh-CN"/>
        </w:rPr>
        <w:t>38</w:t>
      </w:r>
      <w:r>
        <w:rPr>
          <w:rFonts w:hint="default" w:ascii="Times New Roman" w:hAnsi="Times New Roman" w:eastAsia="宋体" w:cs="Times New Roman"/>
        </w:rPr>
        <w:t>.投标人违法责任</w:t>
      </w:r>
    </w:p>
    <w:p w14:paraId="4DA2287D">
      <w:pPr>
        <w:rPr>
          <w:rFonts w:hint="default" w:ascii="Times New Roman" w:hAnsi="Times New Roman" w:eastAsia="宋体" w:cs="Times New Roman"/>
        </w:rPr>
      </w:pPr>
      <w:r>
        <w:rPr>
          <w:rFonts w:hint="default" w:ascii="Times New Roman" w:hAnsi="Times New Roman" w:eastAsia="宋体" w:cs="Times New Roman"/>
        </w:rPr>
        <w:t>根据有关规定，有下列行为之一的，一至三年内禁止其参与</w:t>
      </w:r>
      <w:r>
        <w:rPr>
          <w:rFonts w:hint="eastAsia" w:cs="Times New Roman"/>
          <w:lang w:val="en-US" w:eastAsia="zh-CN"/>
        </w:rPr>
        <w:t>深圳市龙华区中心医院</w:t>
      </w:r>
      <w:r>
        <w:rPr>
          <w:rFonts w:hint="default" w:ascii="Times New Roman" w:hAnsi="Times New Roman" w:eastAsia="宋体" w:cs="Times New Roman"/>
          <w:lang w:val="en-US" w:eastAsia="zh-CN"/>
        </w:rPr>
        <w:t>和深圳市政府采购采购</w:t>
      </w:r>
      <w:r>
        <w:rPr>
          <w:rFonts w:hint="default" w:ascii="Times New Roman" w:hAnsi="Times New Roman" w:eastAsia="宋体" w:cs="Times New Roman"/>
        </w:rPr>
        <w:t>活动， 情节严重的，依法承担赔偿责任；涉嫌犯罪的，依法移送司法机关处理：</w:t>
      </w:r>
    </w:p>
    <w:p w14:paraId="38D9B4BF">
      <w:pPr>
        <w:rPr>
          <w:rFonts w:hint="default" w:ascii="Times New Roman" w:hAnsi="Times New Roman" w:eastAsia="宋体" w:cs="Times New Roman"/>
        </w:rPr>
      </w:pPr>
      <w:r>
        <w:rPr>
          <w:rFonts w:hint="default" w:ascii="Times New Roman" w:hAnsi="Times New Roman" w:eastAsia="宋体" w:cs="Times New Roman"/>
        </w:rPr>
        <w:t>（1）在采购活动中应当回避而未回避的；</w:t>
      </w:r>
    </w:p>
    <w:p w14:paraId="4AED9E5E">
      <w:pPr>
        <w:rPr>
          <w:rFonts w:hint="default" w:ascii="Times New Roman" w:hAnsi="Times New Roman" w:eastAsia="宋体" w:cs="Times New Roman"/>
        </w:rPr>
      </w:pPr>
      <w:r>
        <w:rPr>
          <w:rFonts w:hint="default" w:ascii="Times New Roman" w:hAnsi="Times New Roman" w:eastAsia="宋体" w:cs="Times New Roman"/>
        </w:rPr>
        <w:t>（2）未按本条例规定签订、履行采购合同，造成严重后果的；</w:t>
      </w:r>
    </w:p>
    <w:p w14:paraId="7FCC1C77">
      <w:pPr>
        <w:rPr>
          <w:rFonts w:hint="default" w:ascii="Times New Roman" w:hAnsi="Times New Roman" w:eastAsia="宋体" w:cs="Times New Roman"/>
        </w:rPr>
      </w:pPr>
      <w:r>
        <w:rPr>
          <w:rFonts w:hint="default" w:ascii="Times New Roman" w:hAnsi="Times New Roman" w:eastAsia="宋体" w:cs="Times New Roman"/>
        </w:rPr>
        <w:t>（3）隐瞒真实情况，提供虚假资料的；</w:t>
      </w:r>
    </w:p>
    <w:p w14:paraId="7378A417">
      <w:pPr>
        <w:rPr>
          <w:rFonts w:hint="default" w:ascii="Times New Roman" w:hAnsi="Times New Roman" w:eastAsia="宋体" w:cs="Times New Roman"/>
        </w:rPr>
      </w:pPr>
      <w:r>
        <w:rPr>
          <w:rFonts w:hint="default" w:ascii="Times New Roman" w:hAnsi="Times New Roman" w:eastAsia="宋体" w:cs="Times New Roman"/>
        </w:rPr>
        <w:t>（4） 以非法手段排斥其他投标人参与竞争的；</w:t>
      </w:r>
    </w:p>
    <w:p w14:paraId="111C6F98">
      <w:pPr>
        <w:rPr>
          <w:rFonts w:hint="default" w:ascii="Times New Roman" w:hAnsi="Times New Roman" w:eastAsia="宋体" w:cs="Times New Roman"/>
        </w:rPr>
      </w:pPr>
      <w:r>
        <w:rPr>
          <w:rFonts w:hint="default" w:ascii="Times New Roman" w:hAnsi="Times New Roman" w:eastAsia="宋体" w:cs="Times New Roman"/>
        </w:rPr>
        <w:t>（5）与其他采购参加人串通投标的；</w:t>
      </w:r>
    </w:p>
    <w:p w14:paraId="34D390A8">
      <w:pPr>
        <w:rPr>
          <w:rFonts w:hint="default" w:ascii="Times New Roman" w:hAnsi="Times New Roman" w:eastAsia="宋体" w:cs="Times New Roman"/>
        </w:rPr>
      </w:pPr>
      <w:r>
        <w:rPr>
          <w:rFonts w:hint="default" w:ascii="Times New Roman" w:hAnsi="Times New Roman" w:eastAsia="宋体" w:cs="Times New Roman"/>
        </w:rPr>
        <w:t>（6）恶意投诉的；</w:t>
      </w:r>
    </w:p>
    <w:p w14:paraId="15675818">
      <w:pPr>
        <w:rPr>
          <w:rFonts w:hint="default" w:ascii="Times New Roman" w:hAnsi="Times New Roman" w:eastAsia="宋体" w:cs="Times New Roman"/>
        </w:rPr>
      </w:pPr>
      <w:r>
        <w:rPr>
          <w:rFonts w:hint="default" w:ascii="Times New Roman" w:hAnsi="Times New Roman" w:eastAsia="宋体" w:cs="Times New Roman"/>
        </w:rPr>
        <w:t>（7）向采购项目相关人行贿或者提供其他不当利益的；</w:t>
      </w:r>
    </w:p>
    <w:p w14:paraId="0942836C">
      <w:pPr>
        <w:rPr>
          <w:rFonts w:hint="default" w:ascii="Times New Roman" w:hAnsi="Times New Roman" w:eastAsia="宋体" w:cs="Times New Roman"/>
        </w:rPr>
      </w:pPr>
      <w:r>
        <w:rPr>
          <w:rFonts w:hint="default" w:ascii="Times New Roman" w:hAnsi="Times New Roman" w:eastAsia="宋体" w:cs="Times New Roman"/>
        </w:rPr>
        <w:t>（8）阻碍、抗拒</w:t>
      </w:r>
      <w:r>
        <w:rPr>
          <w:rFonts w:hint="eastAsia" w:cs="Times New Roman"/>
          <w:lang w:eastAsia="zh-CN"/>
        </w:rPr>
        <w:t xml:space="preserve"> 深圳信德招标服务有限公司</w:t>
      </w:r>
      <w:r>
        <w:rPr>
          <w:rFonts w:hint="default" w:ascii="Times New Roman" w:hAnsi="Times New Roman" w:eastAsia="宋体" w:cs="Times New Roman"/>
        </w:rPr>
        <w:t>监督检查的；</w:t>
      </w:r>
    </w:p>
    <w:p w14:paraId="679AED06">
      <w:pPr>
        <w:rPr>
          <w:rFonts w:hint="default" w:ascii="Times New Roman" w:hAnsi="Times New Roman" w:eastAsia="宋体" w:cs="Times New Roman"/>
        </w:rPr>
      </w:pPr>
      <w:r>
        <w:rPr>
          <w:rFonts w:hint="default" w:ascii="Times New Roman" w:hAnsi="Times New Roman" w:eastAsia="宋体" w:cs="Times New Roman"/>
        </w:rPr>
        <w:t>（9）其他违反法律、法规、规章及本条例规定的行为。</w:t>
      </w:r>
    </w:p>
    <w:p w14:paraId="2E897763">
      <w:pPr>
        <w:rPr>
          <w:rFonts w:hint="default" w:ascii="Times New Roman" w:hAnsi="Times New Roman" w:eastAsia="宋体" w:cs="Times New Roman"/>
        </w:rPr>
      </w:pPr>
    </w:p>
    <w:p w14:paraId="13BEA4AF">
      <w:pPr>
        <w:jc w:val="center"/>
        <w:outlineLvl w:val="0"/>
        <w:rPr>
          <w:rFonts w:hint="default" w:ascii="Times New Roman" w:hAnsi="Times New Roman" w:eastAsia="宋体" w:cs="Times New Roman"/>
          <w:b/>
          <w:bCs/>
          <w:sz w:val="32"/>
          <w:szCs w:val="32"/>
        </w:rPr>
      </w:pPr>
      <w:r>
        <w:rPr>
          <w:rFonts w:hint="default" w:ascii="Times New Roman" w:hAnsi="Times New Roman" w:eastAsia="宋体" w:cs="Times New Roman"/>
          <w:b/>
          <w:bCs/>
          <w:sz w:val="32"/>
          <w:szCs w:val="32"/>
          <w:lang w:val="en-US" w:eastAsia="zh-CN"/>
        </w:rPr>
        <w:t xml:space="preserve">第十一章  </w:t>
      </w:r>
      <w:r>
        <w:rPr>
          <w:rFonts w:hint="default" w:ascii="Times New Roman" w:hAnsi="Times New Roman" w:eastAsia="宋体" w:cs="Times New Roman"/>
          <w:b/>
          <w:bCs/>
          <w:sz w:val="32"/>
          <w:szCs w:val="32"/>
        </w:rPr>
        <w:t>质疑处理</w:t>
      </w:r>
    </w:p>
    <w:p w14:paraId="7EAA3C78">
      <w:pPr>
        <w:outlineLvl w:val="1"/>
        <w:rPr>
          <w:rFonts w:hint="default" w:ascii="Times New Roman" w:hAnsi="Times New Roman" w:eastAsia="宋体" w:cs="Times New Roman"/>
        </w:rPr>
      </w:pPr>
      <w:r>
        <w:rPr>
          <w:rFonts w:hint="eastAsia" w:cs="Times New Roman"/>
          <w:lang w:val="en-US" w:eastAsia="zh-CN"/>
        </w:rPr>
        <w:t>39</w:t>
      </w:r>
      <w:r>
        <w:rPr>
          <w:rFonts w:hint="default" w:ascii="Times New Roman" w:hAnsi="Times New Roman" w:eastAsia="宋体" w:cs="Times New Roman"/>
        </w:rPr>
        <w:t>.质疑提出与答复</w:t>
      </w:r>
    </w:p>
    <w:p w14:paraId="419CEA86">
      <w:pPr>
        <w:outlineLvl w:val="9"/>
        <w:rPr>
          <w:rFonts w:hint="default" w:ascii="Times New Roman" w:hAnsi="Times New Roman" w:eastAsia="宋体" w:cs="Times New Roman"/>
        </w:rPr>
      </w:pPr>
      <w:r>
        <w:rPr>
          <w:rFonts w:hint="default" w:ascii="Times New Roman" w:hAnsi="Times New Roman" w:eastAsia="宋体" w:cs="Times New Roman"/>
        </w:rPr>
        <w:t xml:space="preserve">    </w:t>
      </w:r>
      <w:r>
        <w:rPr>
          <w:rFonts w:hint="eastAsia" w:cs="Times New Roman"/>
          <w:lang w:val="en-US" w:eastAsia="zh-CN"/>
        </w:rPr>
        <w:t>39</w:t>
      </w:r>
      <w:r>
        <w:rPr>
          <w:rFonts w:hint="default" w:ascii="Times New Roman" w:hAnsi="Times New Roman" w:eastAsia="宋体" w:cs="Times New Roman"/>
        </w:rPr>
        <w:t>.1提出质疑</w:t>
      </w:r>
    </w:p>
    <w:p w14:paraId="0873A8A2">
      <w:pPr>
        <w:rPr>
          <w:rFonts w:hint="default" w:ascii="Times New Roman" w:hAnsi="Times New Roman" w:eastAsia="宋体" w:cs="Times New Roman"/>
        </w:rPr>
      </w:pPr>
      <w:r>
        <w:rPr>
          <w:rFonts w:hint="default" w:ascii="Times New Roman" w:hAnsi="Times New Roman" w:eastAsia="宋体" w:cs="Times New Roman"/>
        </w:rPr>
        <w:t xml:space="preserve">    参与采购活动的供应商认为自己的权益在采购活动中受到损害的，应当向采购人、</w:t>
      </w:r>
      <w:r>
        <w:rPr>
          <w:rFonts w:hint="eastAsia" w:cs="Times New Roman"/>
          <w:lang w:eastAsia="zh-CN"/>
        </w:rPr>
        <w:t xml:space="preserve"> 深圳信德招标服务有限公司</w:t>
      </w:r>
      <w:r>
        <w:rPr>
          <w:rFonts w:hint="default" w:ascii="Times New Roman" w:hAnsi="Times New Roman" w:eastAsia="宋体" w:cs="Times New Roman"/>
        </w:rPr>
        <w:t>以书面形式提出质疑。</w:t>
      </w:r>
    </w:p>
    <w:p w14:paraId="7B710AF8">
      <w:pPr>
        <w:outlineLvl w:val="9"/>
        <w:rPr>
          <w:rFonts w:hint="default" w:ascii="Times New Roman" w:hAnsi="Times New Roman" w:eastAsia="宋体" w:cs="Times New Roman"/>
        </w:rPr>
      </w:pPr>
      <w:r>
        <w:rPr>
          <w:rFonts w:hint="default" w:ascii="Times New Roman" w:hAnsi="Times New Roman" w:eastAsia="宋体" w:cs="Times New Roman"/>
        </w:rPr>
        <w:t xml:space="preserve">    </w:t>
      </w:r>
      <w:r>
        <w:rPr>
          <w:rFonts w:hint="eastAsia" w:cs="Times New Roman"/>
          <w:lang w:val="en-US" w:eastAsia="zh-CN"/>
        </w:rPr>
        <w:t>39</w:t>
      </w:r>
      <w:r>
        <w:rPr>
          <w:rFonts w:hint="default" w:ascii="Times New Roman" w:hAnsi="Times New Roman" w:eastAsia="宋体" w:cs="Times New Roman"/>
        </w:rPr>
        <w:t>.2法律依据</w:t>
      </w:r>
    </w:p>
    <w:p w14:paraId="6D8706E9">
      <w:pPr>
        <w:rPr>
          <w:rFonts w:hint="default" w:ascii="Times New Roman" w:hAnsi="Times New Roman" w:eastAsia="宋体" w:cs="Times New Roman"/>
        </w:rPr>
      </w:pPr>
      <w:r>
        <w:rPr>
          <w:rFonts w:hint="default" w:ascii="Times New Roman" w:hAnsi="Times New Roman" w:eastAsia="宋体" w:cs="Times New Roman"/>
        </w:rPr>
        <w:t xml:space="preserve">    </w:t>
      </w:r>
      <w:r>
        <w:rPr>
          <w:rFonts w:hint="default" w:ascii="Times New Roman" w:hAnsi="Times New Roman" w:eastAsia="宋体" w:cs="Times New Roman"/>
          <w:lang w:val="en-US" w:eastAsia="zh-CN"/>
        </w:rPr>
        <w:t>按照</w:t>
      </w:r>
      <w:r>
        <w:rPr>
          <w:rFonts w:hint="default" w:ascii="Times New Roman" w:hAnsi="Times New Roman" w:eastAsia="宋体" w:cs="Times New Roman"/>
        </w:rPr>
        <w:t>《中华人民共和国政府采购法》、《中华人民共和国政府采购法实施条例》、《深圳经济特区政府采购条例》、《深圳经济特区政府采购条例实施细则》、《政府采购质疑和投诉办法》（财政部令第94号）和其他有关法律法规规定。</w:t>
      </w:r>
    </w:p>
    <w:p w14:paraId="1C2B992A">
      <w:pPr>
        <w:outlineLvl w:val="9"/>
        <w:rPr>
          <w:rFonts w:hint="default" w:ascii="Times New Roman" w:hAnsi="Times New Roman" w:eastAsia="宋体" w:cs="Times New Roman"/>
        </w:rPr>
      </w:pPr>
      <w:r>
        <w:rPr>
          <w:rFonts w:hint="default" w:ascii="Times New Roman" w:hAnsi="Times New Roman" w:eastAsia="宋体" w:cs="Times New Roman"/>
        </w:rPr>
        <w:t xml:space="preserve">    </w:t>
      </w:r>
      <w:r>
        <w:rPr>
          <w:rFonts w:hint="eastAsia" w:cs="Times New Roman"/>
          <w:lang w:val="en-US" w:eastAsia="zh-CN"/>
        </w:rPr>
        <w:t>39</w:t>
      </w:r>
      <w:r>
        <w:rPr>
          <w:rFonts w:hint="default" w:ascii="Times New Roman" w:hAnsi="Times New Roman" w:eastAsia="宋体" w:cs="Times New Roman"/>
        </w:rPr>
        <w:t>.3质疑条件</w:t>
      </w:r>
    </w:p>
    <w:p w14:paraId="5A7FE66A">
      <w:pPr>
        <w:rPr>
          <w:rFonts w:hint="default" w:ascii="Times New Roman" w:hAnsi="Times New Roman" w:eastAsia="宋体" w:cs="Times New Roman"/>
        </w:rPr>
      </w:pPr>
      <w:r>
        <w:rPr>
          <w:rFonts w:hint="default" w:ascii="Times New Roman" w:hAnsi="Times New Roman" w:eastAsia="宋体" w:cs="Times New Roman"/>
        </w:rPr>
        <w:t xml:space="preserve">    </w:t>
      </w:r>
      <w:r>
        <w:rPr>
          <w:rFonts w:hint="eastAsia" w:cs="Times New Roman"/>
          <w:lang w:val="en-US" w:eastAsia="zh-CN"/>
        </w:rPr>
        <w:t>39</w:t>
      </w:r>
      <w:r>
        <w:rPr>
          <w:rFonts w:hint="default" w:ascii="Times New Roman" w:hAnsi="Times New Roman" w:eastAsia="宋体" w:cs="Times New Roman"/>
        </w:rPr>
        <w:t>.3.1提出质疑的供应商应当是参与所质疑项目采购活动的供应商；</w:t>
      </w:r>
      <w:bookmarkStart w:id="109" w:name="_Hlk75374941"/>
      <w:r>
        <w:rPr>
          <w:rFonts w:hint="default" w:ascii="Times New Roman" w:hAnsi="Times New Roman" w:eastAsia="宋体" w:cs="Times New Roman"/>
        </w:rPr>
        <w:t>以联合体形式参与的，质疑应当由组成联合体的所有成员共同提出</w:t>
      </w:r>
      <w:bookmarkEnd w:id="109"/>
      <w:r>
        <w:rPr>
          <w:rFonts w:hint="default" w:ascii="Times New Roman" w:hAnsi="Times New Roman" w:eastAsia="宋体" w:cs="Times New Roman"/>
        </w:rPr>
        <w:t>；</w:t>
      </w:r>
    </w:p>
    <w:p w14:paraId="785D1C9D">
      <w:pPr>
        <w:rPr>
          <w:rFonts w:hint="default" w:ascii="Times New Roman" w:hAnsi="Times New Roman" w:eastAsia="宋体" w:cs="Times New Roman"/>
        </w:rPr>
      </w:pPr>
      <w:r>
        <w:rPr>
          <w:rFonts w:hint="default" w:ascii="Times New Roman" w:hAnsi="Times New Roman" w:eastAsia="宋体" w:cs="Times New Roman"/>
        </w:rPr>
        <w:t xml:space="preserve">    </w:t>
      </w:r>
      <w:r>
        <w:rPr>
          <w:rFonts w:hint="eastAsia" w:cs="Times New Roman"/>
          <w:lang w:val="en-US" w:eastAsia="zh-CN"/>
        </w:rPr>
        <w:t>39</w:t>
      </w:r>
      <w:r>
        <w:rPr>
          <w:rFonts w:hint="default" w:ascii="Times New Roman" w:hAnsi="Times New Roman" w:eastAsia="宋体" w:cs="Times New Roman"/>
        </w:rPr>
        <w:t>.3.2应当在法定质疑期内一次性提出针对同一采购程序环节的质疑。应当知道其权益受到损害之日是指：对招标文件的质疑，为招标文件公布之日；对采购过程的质疑，为各采购程序环节结束之日；对中标结果以及评审委员会组成人员的质疑，为中标结果公示之日；</w:t>
      </w:r>
    </w:p>
    <w:p w14:paraId="08D3AB75">
      <w:pPr>
        <w:outlineLvl w:val="9"/>
        <w:rPr>
          <w:rFonts w:hint="default" w:ascii="Times New Roman" w:hAnsi="Times New Roman" w:eastAsia="宋体" w:cs="Times New Roman"/>
        </w:rPr>
      </w:pPr>
      <w:r>
        <w:rPr>
          <w:rFonts w:hint="eastAsia" w:cs="Times New Roman"/>
          <w:lang w:val="en-US" w:eastAsia="zh-CN"/>
        </w:rPr>
        <w:t>39</w:t>
      </w:r>
      <w:r>
        <w:rPr>
          <w:rFonts w:hint="default" w:ascii="Times New Roman" w:hAnsi="Times New Roman" w:eastAsia="宋体" w:cs="Times New Roman"/>
        </w:rPr>
        <w:t xml:space="preserve">.3.3应提交书面质疑函，质疑函应当包括以下内容： </w:t>
      </w:r>
    </w:p>
    <w:p w14:paraId="560AB96A">
      <w:pPr>
        <w:rPr>
          <w:rFonts w:hint="default" w:ascii="Times New Roman" w:hAnsi="Times New Roman" w:eastAsia="宋体" w:cs="Times New Roman"/>
        </w:rPr>
      </w:pPr>
      <w:r>
        <w:rPr>
          <w:rFonts w:hint="default" w:ascii="Times New Roman" w:hAnsi="Times New Roman" w:eastAsia="宋体" w:cs="Times New Roman"/>
        </w:rPr>
        <w:t>（1）供应商的名称（或者姓名）、地址、邮编、邮箱、联系人及联系电话；</w:t>
      </w:r>
    </w:p>
    <w:p w14:paraId="4C1DE4A4">
      <w:pPr>
        <w:rPr>
          <w:rFonts w:hint="default" w:ascii="Times New Roman" w:hAnsi="Times New Roman" w:eastAsia="宋体" w:cs="Times New Roman"/>
        </w:rPr>
      </w:pPr>
      <w:r>
        <w:rPr>
          <w:rFonts w:hint="default" w:ascii="Times New Roman" w:hAnsi="Times New Roman" w:eastAsia="宋体" w:cs="Times New Roman"/>
        </w:rPr>
        <w:t>（2）质疑项目的名称、编号；</w:t>
      </w:r>
    </w:p>
    <w:p w14:paraId="473E36E6">
      <w:pPr>
        <w:rPr>
          <w:rFonts w:hint="default" w:ascii="Times New Roman" w:hAnsi="Times New Roman" w:eastAsia="宋体" w:cs="Times New Roman"/>
        </w:rPr>
      </w:pPr>
      <w:r>
        <w:rPr>
          <w:rFonts w:hint="default" w:ascii="Times New Roman" w:hAnsi="Times New Roman" w:eastAsia="宋体" w:cs="Times New Roman"/>
        </w:rPr>
        <w:t>（3）具体、明确的质疑对象、质疑事项和质疑请求；</w:t>
      </w:r>
    </w:p>
    <w:p w14:paraId="3B814AAB">
      <w:pPr>
        <w:rPr>
          <w:rFonts w:hint="default" w:ascii="Times New Roman" w:hAnsi="Times New Roman" w:eastAsia="宋体" w:cs="Times New Roman"/>
        </w:rPr>
      </w:pPr>
      <w:r>
        <w:rPr>
          <w:rFonts w:hint="default" w:ascii="Times New Roman" w:hAnsi="Times New Roman" w:eastAsia="宋体" w:cs="Times New Roman"/>
        </w:rPr>
        <w:t>（4）因质疑事项而受损害的权益；</w:t>
      </w:r>
    </w:p>
    <w:p w14:paraId="4E1BA501">
      <w:pPr>
        <w:rPr>
          <w:rFonts w:hint="default" w:ascii="Times New Roman" w:hAnsi="Times New Roman" w:eastAsia="宋体" w:cs="Times New Roman"/>
        </w:rPr>
      </w:pPr>
      <w:r>
        <w:rPr>
          <w:rFonts w:hint="default" w:ascii="Times New Roman" w:hAnsi="Times New Roman" w:eastAsia="宋体" w:cs="Times New Roman"/>
        </w:rPr>
        <w:t>（5）事实依据；</w:t>
      </w:r>
    </w:p>
    <w:p w14:paraId="36863E73">
      <w:pPr>
        <w:rPr>
          <w:rFonts w:hint="default" w:ascii="Times New Roman" w:hAnsi="Times New Roman" w:eastAsia="宋体" w:cs="Times New Roman"/>
        </w:rPr>
      </w:pPr>
      <w:r>
        <w:rPr>
          <w:rFonts w:hint="default" w:ascii="Times New Roman" w:hAnsi="Times New Roman" w:eastAsia="宋体" w:cs="Times New Roman"/>
        </w:rPr>
        <w:t>（6）必要的法律依据；</w:t>
      </w:r>
    </w:p>
    <w:p w14:paraId="6E0B78E2">
      <w:pPr>
        <w:rPr>
          <w:rFonts w:hint="default" w:ascii="Times New Roman" w:hAnsi="Times New Roman" w:eastAsia="宋体" w:cs="Times New Roman"/>
        </w:rPr>
      </w:pPr>
      <w:r>
        <w:rPr>
          <w:rFonts w:hint="default" w:ascii="Times New Roman" w:hAnsi="Times New Roman" w:eastAsia="宋体" w:cs="Times New Roman"/>
        </w:rPr>
        <w:t>（7）提出质疑的日期。</w:t>
      </w:r>
    </w:p>
    <w:p w14:paraId="58D61E45">
      <w:pPr>
        <w:rPr>
          <w:rFonts w:hint="default" w:ascii="Times New Roman" w:hAnsi="Times New Roman" w:eastAsia="宋体" w:cs="Times New Roman"/>
        </w:rPr>
      </w:pPr>
      <w:r>
        <w:rPr>
          <w:rFonts w:hint="default" w:ascii="Times New Roman" w:hAnsi="Times New Roman" w:eastAsia="宋体" w:cs="Times New Roman"/>
        </w:rPr>
        <w:t>供应商为自然人的，应当由本人签字；供应商为法人或者其他组织的，应当由法定代表人（负责人），或者其授权代理人签字或者盖章，并加盖公章。</w:t>
      </w:r>
    </w:p>
    <w:p w14:paraId="65C2BE7A">
      <w:pPr>
        <w:outlineLvl w:val="9"/>
        <w:rPr>
          <w:rFonts w:hint="default" w:ascii="Times New Roman" w:hAnsi="Times New Roman" w:eastAsia="宋体" w:cs="Times New Roman"/>
        </w:rPr>
      </w:pPr>
      <w:r>
        <w:rPr>
          <w:rFonts w:hint="eastAsia" w:cs="Times New Roman"/>
          <w:lang w:val="en-US" w:eastAsia="zh-CN"/>
        </w:rPr>
        <w:t>39</w:t>
      </w:r>
      <w:r>
        <w:rPr>
          <w:rFonts w:hint="default" w:ascii="Times New Roman" w:hAnsi="Times New Roman" w:eastAsia="宋体" w:cs="Times New Roman"/>
        </w:rPr>
        <w:t>.4提交材料</w:t>
      </w:r>
    </w:p>
    <w:p w14:paraId="34361A0A">
      <w:pPr>
        <w:rPr>
          <w:rFonts w:hint="default" w:ascii="Times New Roman" w:hAnsi="Times New Roman" w:eastAsia="宋体" w:cs="Times New Roman"/>
        </w:rPr>
      </w:pPr>
      <w:r>
        <w:rPr>
          <w:rFonts w:hint="default" w:ascii="Times New Roman" w:hAnsi="Times New Roman" w:eastAsia="宋体" w:cs="Times New Roman"/>
        </w:rPr>
        <w:t>供应商质疑实行实名制。供应商为自然人的，应当提交本人身份证</w:t>
      </w:r>
      <w:r>
        <w:rPr>
          <w:rFonts w:hint="default" w:ascii="Times New Roman" w:hAnsi="Times New Roman" w:eastAsia="宋体" w:cs="Times New Roman"/>
          <w:lang w:eastAsia="zh-CN"/>
        </w:rPr>
        <w:t>扫描件</w:t>
      </w:r>
      <w:r>
        <w:rPr>
          <w:rFonts w:hint="default" w:ascii="Times New Roman" w:hAnsi="Times New Roman" w:eastAsia="宋体" w:cs="Times New Roman"/>
        </w:rPr>
        <w:t>；供应商为法人或者其他组织的，应当根据自身性质提交营业执照</w:t>
      </w:r>
      <w:r>
        <w:rPr>
          <w:rFonts w:hint="default" w:ascii="Times New Roman" w:hAnsi="Times New Roman" w:eastAsia="宋体" w:cs="Times New Roman"/>
          <w:lang w:eastAsia="zh-CN"/>
        </w:rPr>
        <w:t>扫描件</w:t>
      </w:r>
      <w:r>
        <w:rPr>
          <w:rFonts w:hint="default" w:ascii="Times New Roman" w:hAnsi="Times New Roman" w:eastAsia="宋体" w:cs="Times New Roman"/>
        </w:rPr>
        <w:t>或者其他证明文件（如事业单位法人证书等）</w:t>
      </w:r>
      <w:r>
        <w:rPr>
          <w:rFonts w:hint="default" w:ascii="Times New Roman" w:hAnsi="Times New Roman" w:eastAsia="宋体" w:cs="Times New Roman"/>
          <w:lang w:eastAsia="zh-CN"/>
        </w:rPr>
        <w:t>扫描件</w:t>
      </w:r>
      <w:r>
        <w:rPr>
          <w:rFonts w:hint="default" w:ascii="Times New Roman" w:hAnsi="Times New Roman" w:eastAsia="宋体" w:cs="Times New Roman"/>
        </w:rPr>
        <w:t>。</w:t>
      </w:r>
    </w:p>
    <w:p w14:paraId="4704ED70">
      <w:pPr>
        <w:rPr>
          <w:rFonts w:hint="default" w:ascii="Times New Roman" w:hAnsi="Times New Roman" w:eastAsia="宋体" w:cs="Times New Roman"/>
        </w:rPr>
      </w:pPr>
      <w:r>
        <w:rPr>
          <w:rFonts w:hint="default" w:ascii="Times New Roman" w:hAnsi="Times New Roman" w:eastAsia="宋体" w:cs="Times New Roman"/>
        </w:rPr>
        <w:t>供应商可以委托代理人进行质疑。其授权委托书应当载明代理人的姓名或者名称、代理事项、具体权限、期限和相关事项。供应商为自然人的，应当由本人签字；供应商为法人或者其他组织的，应当由法定代表人、主要负责人签字或者盖章，并加盖公章。</w:t>
      </w:r>
    </w:p>
    <w:p w14:paraId="1DA35F12">
      <w:pPr>
        <w:outlineLvl w:val="9"/>
        <w:rPr>
          <w:rFonts w:hint="default" w:ascii="Times New Roman" w:hAnsi="Times New Roman" w:eastAsia="宋体" w:cs="Times New Roman"/>
        </w:rPr>
      </w:pPr>
      <w:r>
        <w:rPr>
          <w:rFonts w:hint="eastAsia" w:cs="Times New Roman"/>
          <w:lang w:val="en-US" w:eastAsia="zh-CN"/>
        </w:rPr>
        <w:t>39</w:t>
      </w:r>
      <w:r>
        <w:rPr>
          <w:rFonts w:hint="default" w:ascii="Times New Roman" w:hAnsi="Times New Roman" w:eastAsia="宋体" w:cs="Times New Roman"/>
        </w:rPr>
        <w:t>.5收文地点</w:t>
      </w:r>
    </w:p>
    <w:p w14:paraId="364D8188">
      <w:pPr>
        <w:rPr>
          <w:rFonts w:hint="default" w:ascii="Times New Roman" w:hAnsi="Times New Roman" w:eastAsia="宋体" w:cs="Times New Roman"/>
        </w:rPr>
      </w:pPr>
      <w:r>
        <w:rPr>
          <w:rFonts w:hint="default" w:ascii="Times New Roman" w:hAnsi="Times New Roman" w:eastAsia="宋体" w:cs="Times New Roman"/>
        </w:rPr>
        <w:t>地址：</w:t>
      </w:r>
      <w:r>
        <w:rPr>
          <w:rFonts w:hint="eastAsia" w:cs="Times New Roman"/>
          <w:lang w:eastAsia="zh-CN"/>
        </w:rPr>
        <w:t xml:space="preserve"> 深圳信德招标服务有限公司</w:t>
      </w:r>
      <w:r>
        <w:rPr>
          <w:rFonts w:hint="default" w:ascii="Times New Roman" w:hAnsi="Times New Roman" w:eastAsia="宋体" w:cs="Times New Roman"/>
        </w:rPr>
        <w:t>（地址：</w:t>
      </w:r>
      <w:r>
        <w:rPr>
          <w:rFonts w:hint="eastAsia" w:cs="Times New Roman"/>
          <w:lang w:eastAsia="zh-CN"/>
        </w:rPr>
        <w:t>深圳市福田区泰然八路33号云松大厦10楼E室</w:t>
      </w:r>
      <w:r>
        <w:rPr>
          <w:rFonts w:hint="default" w:ascii="Times New Roman" w:hAnsi="Times New Roman" w:eastAsia="宋体" w:cs="Times New Roman"/>
        </w:rPr>
        <w:t>），质疑咨询电话：</w:t>
      </w:r>
      <w:r>
        <w:rPr>
          <w:rFonts w:hint="eastAsia" w:ascii="宋体"/>
          <w:bCs/>
          <w:color w:val="000000"/>
          <w:szCs w:val="20"/>
        </w:rPr>
        <w:t>0755-25110079</w:t>
      </w:r>
      <w:r>
        <w:rPr>
          <w:rFonts w:hint="default" w:ascii="Times New Roman" w:hAnsi="Times New Roman" w:eastAsia="宋体" w:cs="Times New Roman"/>
        </w:rPr>
        <w:t>。</w:t>
      </w:r>
    </w:p>
    <w:p w14:paraId="08E9BC8C">
      <w:pPr>
        <w:outlineLvl w:val="9"/>
        <w:rPr>
          <w:rFonts w:hint="default" w:ascii="Times New Roman" w:hAnsi="Times New Roman" w:eastAsia="宋体" w:cs="Times New Roman"/>
        </w:rPr>
      </w:pPr>
      <w:r>
        <w:rPr>
          <w:rFonts w:hint="eastAsia" w:cs="Times New Roman"/>
          <w:lang w:val="en-US" w:eastAsia="zh-CN"/>
        </w:rPr>
        <w:t>39</w:t>
      </w:r>
      <w:r>
        <w:rPr>
          <w:rFonts w:hint="default" w:ascii="Times New Roman" w:hAnsi="Times New Roman" w:eastAsia="宋体" w:cs="Times New Roman"/>
        </w:rPr>
        <w:t>.6收文办理程序</w:t>
      </w:r>
    </w:p>
    <w:p w14:paraId="6B901890">
      <w:pPr>
        <w:rPr>
          <w:rFonts w:hint="default" w:ascii="Times New Roman" w:hAnsi="Times New Roman" w:eastAsia="宋体" w:cs="Times New Roman"/>
        </w:rPr>
      </w:pPr>
      <w:r>
        <w:rPr>
          <w:rFonts w:hint="eastAsia" w:cs="Times New Roman"/>
          <w:lang w:val="en-US" w:eastAsia="zh-CN"/>
        </w:rPr>
        <w:t>39</w:t>
      </w:r>
      <w:r>
        <w:rPr>
          <w:rFonts w:hint="default" w:ascii="Times New Roman" w:hAnsi="Times New Roman" w:eastAsia="宋体" w:cs="Times New Roman"/>
        </w:rPr>
        <w:t>.6.1供应商提交的质疑符合受理条件的，</w:t>
      </w:r>
      <w:r>
        <w:rPr>
          <w:rFonts w:hint="eastAsia" w:cs="Times New Roman"/>
          <w:lang w:eastAsia="zh-CN"/>
        </w:rPr>
        <w:t xml:space="preserve"> 深圳信德招标服务有限公司</w:t>
      </w:r>
      <w:r>
        <w:rPr>
          <w:rFonts w:hint="default" w:ascii="Times New Roman" w:hAnsi="Times New Roman" w:eastAsia="宋体" w:cs="Times New Roman"/>
        </w:rPr>
        <w:t>自收到质疑材料之日起即为受理，应当向供应商出具质疑函收文回执并可以要求其递交质疑的法定代表人（负责人）或者授权代理人签署质疑文书送达地址确认书。</w:t>
      </w:r>
    </w:p>
    <w:p w14:paraId="18101DD2">
      <w:pPr>
        <w:rPr>
          <w:rFonts w:hint="default" w:ascii="Times New Roman" w:hAnsi="Times New Roman" w:eastAsia="宋体" w:cs="Times New Roman"/>
        </w:rPr>
      </w:pPr>
      <w:r>
        <w:rPr>
          <w:rFonts w:hint="eastAsia" w:cs="Times New Roman"/>
          <w:lang w:val="en-US" w:eastAsia="zh-CN"/>
        </w:rPr>
        <w:t>39</w:t>
      </w:r>
      <w:r>
        <w:rPr>
          <w:rFonts w:hint="default" w:ascii="Times New Roman" w:hAnsi="Times New Roman" w:eastAsia="宋体" w:cs="Times New Roman"/>
        </w:rPr>
        <w:t>.6.2供应商提交的质疑材料不符合质疑条件的，视情况处理：</w:t>
      </w:r>
    </w:p>
    <w:p w14:paraId="2E8FA545">
      <w:pPr>
        <w:rPr>
          <w:rFonts w:hint="default" w:ascii="Times New Roman" w:hAnsi="Times New Roman" w:eastAsia="宋体" w:cs="Times New Roman"/>
        </w:rPr>
      </w:pPr>
      <w:r>
        <w:rPr>
          <w:rFonts w:hint="default" w:ascii="Times New Roman" w:hAnsi="Times New Roman" w:eastAsia="宋体" w:cs="Times New Roman"/>
        </w:rPr>
        <w:t>供应商提交的质疑材料不全或者未按要求签字或者盖章的，</w:t>
      </w:r>
      <w:r>
        <w:rPr>
          <w:rFonts w:hint="eastAsia" w:cs="Times New Roman"/>
          <w:lang w:eastAsia="zh-CN"/>
        </w:rPr>
        <w:t xml:space="preserve"> 深圳信德招标服务有限公司</w:t>
      </w:r>
      <w:r>
        <w:rPr>
          <w:rFonts w:hint="default" w:ascii="Times New Roman" w:hAnsi="Times New Roman" w:eastAsia="宋体" w:cs="Times New Roman"/>
        </w:rPr>
        <w:t>应当一次性告知供应商需补正的内容和补正期限。</w:t>
      </w:r>
    </w:p>
    <w:p w14:paraId="1F86425D">
      <w:pPr>
        <w:rPr>
          <w:rFonts w:hint="default" w:ascii="Times New Roman" w:hAnsi="Times New Roman" w:eastAsia="宋体" w:cs="Times New Roman"/>
        </w:rPr>
      </w:pPr>
      <w:r>
        <w:rPr>
          <w:rFonts w:hint="default" w:ascii="Times New Roman" w:hAnsi="Times New Roman" w:eastAsia="宋体" w:cs="Times New Roman"/>
        </w:rPr>
        <w:t>供应商提交的质疑存在下列情形之一的，不予受理：</w:t>
      </w:r>
    </w:p>
    <w:p w14:paraId="71495D26">
      <w:pPr>
        <w:rPr>
          <w:rFonts w:hint="default" w:ascii="Times New Roman" w:hAnsi="Times New Roman" w:eastAsia="宋体" w:cs="Times New Roman"/>
        </w:rPr>
      </w:pPr>
      <w:r>
        <w:rPr>
          <w:rFonts w:hint="default" w:ascii="Times New Roman" w:hAnsi="Times New Roman" w:eastAsia="宋体" w:cs="Times New Roman"/>
        </w:rPr>
        <w:t>（1）质疑主体不满足要求的；</w:t>
      </w:r>
    </w:p>
    <w:p w14:paraId="5A38D347">
      <w:pPr>
        <w:rPr>
          <w:rFonts w:hint="default" w:ascii="Times New Roman" w:hAnsi="Times New Roman" w:eastAsia="宋体" w:cs="Times New Roman"/>
        </w:rPr>
      </w:pPr>
      <w:r>
        <w:rPr>
          <w:rFonts w:hint="default" w:ascii="Times New Roman" w:hAnsi="Times New Roman" w:eastAsia="宋体" w:cs="Times New Roman"/>
        </w:rPr>
        <w:t>（2）供应商自身权益未受到损害的；</w:t>
      </w:r>
    </w:p>
    <w:p w14:paraId="0509362B">
      <w:pPr>
        <w:rPr>
          <w:rFonts w:hint="default" w:ascii="Times New Roman" w:hAnsi="Times New Roman" w:eastAsia="宋体" w:cs="Times New Roman"/>
        </w:rPr>
      </w:pPr>
      <w:r>
        <w:rPr>
          <w:rFonts w:hint="default" w:ascii="Times New Roman" w:hAnsi="Times New Roman" w:eastAsia="宋体" w:cs="Times New Roman"/>
        </w:rPr>
        <w:t>（3）供应商未在法定质疑期限内提出质疑的；</w:t>
      </w:r>
    </w:p>
    <w:p w14:paraId="7A2B4B48">
      <w:pPr>
        <w:rPr>
          <w:rFonts w:hint="default" w:ascii="Times New Roman" w:hAnsi="Times New Roman" w:eastAsia="宋体" w:cs="Times New Roman"/>
        </w:rPr>
      </w:pPr>
      <w:r>
        <w:rPr>
          <w:rFonts w:hint="default" w:ascii="Times New Roman" w:hAnsi="Times New Roman" w:eastAsia="宋体" w:cs="Times New Roman"/>
        </w:rPr>
        <w:t>（4）质疑材料不全或者未按要求签字或者盖章的情况下，要求补正后，逾期未补正或者补正后仍不符合规定的；</w:t>
      </w:r>
    </w:p>
    <w:p w14:paraId="72C3BCCD">
      <w:pPr>
        <w:outlineLvl w:val="9"/>
        <w:rPr>
          <w:rFonts w:hint="default" w:ascii="Times New Roman" w:hAnsi="Times New Roman" w:eastAsia="宋体" w:cs="Times New Roman"/>
        </w:rPr>
      </w:pPr>
      <w:r>
        <w:rPr>
          <w:rFonts w:hint="default" w:ascii="Times New Roman" w:hAnsi="Times New Roman" w:eastAsia="宋体" w:cs="Times New Roman"/>
        </w:rPr>
        <w:t>（5）其他不符合受理条件情形的。</w:t>
      </w:r>
    </w:p>
    <w:p w14:paraId="7FB77225">
      <w:pPr>
        <w:rPr>
          <w:rFonts w:hint="default" w:ascii="Times New Roman" w:hAnsi="Times New Roman" w:eastAsia="宋体" w:cs="Times New Roman"/>
        </w:rPr>
      </w:pPr>
      <w:r>
        <w:rPr>
          <w:rFonts w:hint="default" w:ascii="Times New Roman" w:hAnsi="Times New Roman" w:eastAsia="宋体" w:cs="Times New Roman"/>
        </w:rPr>
        <w:t>质疑事项不予受理的，</w:t>
      </w:r>
      <w:r>
        <w:rPr>
          <w:rFonts w:hint="eastAsia" w:cs="Times New Roman"/>
          <w:lang w:eastAsia="zh-CN"/>
        </w:rPr>
        <w:t xml:space="preserve"> 深圳信德招标服务有限公司</w:t>
      </w:r>
      <w:r>
        <w:rPr>
          <w:rFonts w:hint="default" w:ascii="Times New Roman" w:hAnsi="Times New Roman" w:eastAsia="宋体" w:cs="Times New Roman"/>
        </w:rPr>
        <w:t>应当向供应商出具不符合质疑条件告知书。</w:t>
      </w:r>
    </w:p>
    <w:p w14:paraId="67DBB5B6">
      <w:pPr>
        <w:outlineLvl w:val="9"/>
        <w:rPr>
          <w:rFonts w:hint="default" w:ascii="Times New Roman" w:hAnsi="Times New Roman" w:eastAsia="宋体" w:cs="Times New Roman"/>
        </w:rPr>
      </w:pPr>
      <w:r>
        <w:rPr>
          <w:rFonts w:hint="default" w:ascii="Times New Roman" w:hAnsi="Times New Roman" w:eastAsia="宋体" w:cs="Times New Roman"/>
        </w:rPr>
        <w:t xml:space="preserve">    </w:t>
      </w:r>
      <w:r>
        <w:rPr>
          <w:rFonts w:hint="eastAsia" w:cs="Times New Roman"/>
          <w:lang w:val="en-US" w:eastAsia="zh-CN"/>
        </w:rPr>
        <w:t>39</w:t>
      </w:r>
      <w:r>
        <w:rPr>
          <w:rFonts w:hint="default" w:ascii="Times New Roman" w:hAnsi="Times New Roman" w:eastAsia="宋体" w:cs="Times New Roman"/>
        </w:rPr>
        <w:t>.7质疑答复时限</w:t>
      </w:r>
    </w:p>
    <w:p w14:paraId="216D648A">
      <w:pPr>
        <w:rPr>
          <w:rFonts w:hint="default" w:ascii="Times New Roman" w:hAnsi="Times New Roman" w:eastAsia="宋体" w:cs="Times New Roman"/>
        </w:rPr>
      </w:pPr>
      <w:r>
        <w:rPr>
          <w:rFonts w:hint="default" w:ascii="Times New Roman" w:hAnsi="Times New Roman" w:eastAsia="宋体" w:cs="Times New Roman"/>
        </w:rPr>
        <w:t xml:space="preserve">    自收文之日起七个工作日内。</w:t>
      </w:r>
    </w:p>
    <w:p w14:paraId="73C32124">
      <w:pPr>
        <w:outlineLvl w:val="9"/>
        <w:rPr>
          <w:rFonts w:hint="default" w:ascii="Times New Roman" w:hAnsi="Times New Roman" w:eastAsia="宋体" w:cs="Times New Roman"/>
        </w:rPr>
      </w:pPr>
      <w:r>
        <w:rPr>
          <w:rFonts w:hint="default" w:ascii="Times New Roman" w:hAnsi="Times New Roman" w:eastAsia="宋体" w:cs="Times New Roman"/>
        </w:rPr>
        <w:t xml:space="preserve">    </w:t>
      </w:r>
      <w:r>
        <w:rPr>
          <w:rFonts w:hint="eastAsia" w:cs="Times New Roman"/>
          <w:lang w:val="en-US" w:eastAsia="zh-CN"/>
        </w:rPr>
        <w:t>39</w:t>
      </w:r>
      <w:r>
        <w:rPr>
          <w:rFonts w:hint="default" w:ascii="Times New Roman" w:hAnsi="Times New Roman" w:eastAsia="宋体" w:cs="Times New Roman"/>
        </w:rPr>
        <w:t>.8投诉</w:t>
      </w:r>
    </w:p>
    <w:p w14:paraId="3D66550C">
      <w:pPr>
        <w:rPr>
          <w:rFonts w:hint="default" w:ascii="Times New Roman" w:hAnsi="Times New Roman" w:eastAsia="宋体" w:cs="Times New Roman"/>
        </w:rPr>
      </w:pPr>
      <w:r>
        <w:rPr>
          <w:rFonts w:hint="default" w:ascii="Times New Roman" w:hAnsi="Times New Roman" w:eastAsia="宋体" w:cs="Times New Roman"/>
        </w:rPr>
        <w:t xml:space="preserve">    对质疑答复不满意或者未在规定时间内答复的，提出质疑的供应商可以在答复期满后15个工作日内向同级财政部门投诉。</w:t>
      </w:r>
    </w:p>
    <w:p w14:paraId="02E45685">
      <w:pPr>
        <w:outlineLvl w:val="1"/>
        <w:rPr>
          <w:rFonts w:hint="default" w:ascii="Times New Roman" w:hAnsi="Times New Roman" w:eastAsia="宋体" w:cs="Times New Roman"/>
        </w:rPr>
      </w:pPr>
      <w:r>
        <w:rPr>
          <w:rFonts w:hint="eastAsia" w:cs="Times New Roman"/>
          <w:lang w:val="en-US" w:eastAsia="zh-CN"/>
        </w:rPr>
        <w:t>40</w:t>
      </w:r>
      <w:r>
        <w:rPr>
          <w:rFonts w:hint="default" w:ascii="Times New Roman" w:hAnsi="Times New Roman" w:eastAsia="宋体" w:cs="Times New Roman"/>
        </w:rPr>
        <w:t>. 质疑后续处理</w:t>
      </w:r>
    </w:p>
    <w:p w14:paraId="2057D3BA">
      <w:pPr>
        <w:rPr>
          <w:rFonts w:hint="default" w:ascii="Times New Roman" w:hAnsi="Times New Roman" w:eastAsia="宋体" w:cs="Times New Roman"/>
        </w:rPr>
      </w:pPr>
      <w:r>
        <w:rPr>
          <w:rFonts w:hint="eastAsia" w:cs="Times New Roman"/>
          <w:lang w:val="en-US" w:eastAsia="zh-CN"/>
        </w:rPr>
        <w:t>40</w:t>
      </w:r>
      <w:r>
        <w:rPr>
          <w:rFonts w:hint="default" w:ascii="Times New Roman" w:hAnsi="Times New Roman" w:eastAsia="宋体" w:cs="Times New Roman"/>
        </w:rPr>
        <w:t>.1供应商质疑不成立，或者成立但未对中标、成交结果构成影响的，继续开展采购活动。</w:t>
      </w:r>
    </w:p>
    <w:p w14:paraId="79120482">
      <w:pPr>
        <w:rPr>
          <w:rFonts w:hint="default" w:ascii="Times New Roman" w:hAnsi="Times New Roman" w:eastAsia="宋体" w:cs="Times New Roman"/>
        </w:rPr>
      </w:pPr>
      <w:r>
        <w:rPr>
          <w:rFonts w:hint="eastAsia" w:cs="Times New Roman"/>
          <w:lang w:val="en-US" w:eastAsia="zh-CN"/>
        </w:rPr>
        <w:t>40</w:t>
      </w:r>
      <w:r>
        <w:rPr>
          <w:rFonts w:hint="default" w:ascii="Times New Roman" w:hAnsi="Times New Roman" w:eastAsia="宋体" w:cs="Times New Roman"/>
        </w:rPr>
        <w:t>.2供应商质疑成立且影响或者可能影响中标、成交结果的，按照下列情况处理：（1）对采购文件提出的质疑，依法通过澄清或者修改可以继续开展采购活动的，澄清或者修改采购文件后继续开展采购活动；否则应当修改采购文件后重新开展采购活动。（2）对采购过程、中标或者成交结果提出的质疑，合格供应商符合法定数量时，可以从合格的中标或者成交候选人中另行确定中标、成交供应商的，应当依法另行确定中标、成交供应商；否则应当重新开展采购活动。</w:t>
      </w:r>
    </w:p>
    <w:p w14:paraId="4A1C4F56">
      <w:pPr>
        <w:rPr>
          <w:rFonts w:hint="default" w:ascii="Times New Roman" w:hAnsi="Times New Roman" w:eastAsia="宋体" w:cs="Times New Roman"/>
        </w:rPr>
      </w:pPr>
    </w:p>
    <w:p w14:paraId="62AFFDF9">
      <w:pPr>
        <w:jc w:val="center"/>
        <w:outlineLvl w:val="0"/>
        <w:rPr>
          <w:rFonts w:hint="default" w:ascii="Times New Roman" w:hAnsi="Times New Roman" w:eastAsia="宋体" w:cs="Times New Roman"/>
          <w:b/>
          <w:bCs/>
          <w:sz w:val="32"/>
          <w:szCs w:val="32"/>
        </w:rPr>
      </w:pPr>
      <w:r>
        <w:rPr>
          <w:rFonts w:hint="default" w:ascii="Times New Roman" w:hAnsi="Times New Roman" w:eastAsia="宋体" w:cs="Times New Roman"/>
          <w:b/>
          <w:bCs/>
          <w:sz w:val="32"/>
          <w:szCs w:val="32"/>
          <w:lang w:val="en-US" w:eastAsia="zh-CN"/>
        </w:rPr>
        <w:t xml:space="preserve">第十二章 </w:t>
      </w:r>
      <w:r>
        <w:rPr>
          <w:rFonts w:hint="default" w:ascii="Times New Roman" w:hAnsi="Times New Roman" w:eastAsia="宋体" w:cs="Times New Roman"/>
          <w:b/>
          <w:bCs/>
          <w:sz w:val="32"/>
          <w:szCs w:val="32"/>
        </w:rPr>
        <w:t>相关政府采购政策文件</w:t>
      </w:r>
    </w:p>
    <w:p w14:paraId="22E4227D">
      <w:pPr>
        <w:outlineLvl w:val="1"/>
        <w:rPr>
          <w:rFonts w:hint="default" w:ascii="Times New Roman" w:hAnsi="Times New Roman" w:eastAsia="宋体" w:cs="Times New Roman"/>
          <w:lang w:eastAsia="zh-CN"/>
        </w:rPr>
      </w:pPr>
      <w:r>
        <w:rPr>
          <w:rFonts w:hint="eastAsia" w:cs="Times New Roman"/>
          <w:lang w:val="en-US" w:eastAsia="zh-CN"/>
        </w:rPr>
        <w:t>41</w:t>
      </w:r>
      <w:r>
        <w:rPr>
          <w:rFonts w:hint="default" w:ascii="Times New Roman" w:hAnsi="Times New Roman" w:eastAsia="宋体" w:cs="Times New Roman"/>
        </w:rPr>
        <w:t>.</w:t>
      </w:r>
      <w:r>
        <w:rPr>
          <w:rFonts w:hint="default" w:ascii="Times New Roman" w:hAnsi="Times New Roman" w:eastAsia="宋体" w:cs="Times New Roman"/>
          <w:lang w:val="en-US" w:eastAsia="zh-CN"/>
        </w:rPr>
        <w:t>1</w:t>
      </w:r>
      <w:r>
        <w:rPr>
          <w:rFonts w:hint="default" w:ascii="Times New Roman" w:hAnsi="Times New Roman" w:eastAsia="宋体" w:cs="Times New Roman"/>
        </w:rPr>
        <w:t>执行政府采购促进中小企业发展政策，</w:t>
      </w:r>
    </w:p>
    <w:p w14:paraId="3E434DA2">
      <w:pPr>
        <w:rPr>
          <w:rFonts w:hint="default" w:ascii="Times New Roman" w:hAnsi="Times New Roman" w:eastAsia="宋体" w:cs="Times New Roman"/>
        </w:rPr>
      </w:pPr>
      <w:r>
        <w:rPr>
          <w:rFonts w:hint="default" w:ascii="Times New Roman" w:hAnsi="Times New Roman" w:eastAsia="宋体" w:cs="Times New Roman"/>
        </w:rPr>
        <w:t>《政府采购促进中小企业发展管理办法》 (财库〔2020〕46号 )</w:t>
      </w:r>
    </w:p>
    <w:p w14:paraId="0FECE508">
      <w:pPr>
        <w:rPr>
          <w:rFonts w:hint="default" w:ascii="Times New Roman" w:hAnsi="Times New Roman" w:eastAsia="宋体" w:cs="Times New Roman"/>
        </w:rPr>
      </w:pPr>
      <w:r>
        <w:rPr>
          <w:rFonts w:hint="default" w:ascii="Times New Roman" w:hAnsi="Times New Roman" w:eastAsia="宋体" w:cs="Times New Roman"/>
        </w:rPr>
        <w:t>《广东省政府采购促进中小企业发展实施细则》</w:t>
      </w:r>
    </w:p>
    <w:p w14:paraId="51DFC818">
      <w:pPr>
        <w:rPr>
          <w:rFonts w:hint="default" w:ascii="Times New Roman" w:hAnsi="Times New Roman" w:eastAsia="宋体" w:cs="Times New Roman"/>
        </w:rPr>
      </w:pPr>
      <w:r>
        <w:rPr>
          <w:rFonts w:hint="default" w:ascii="Times New Roman" w:hAnsi="Times New Roman" w:eastAsia="宋体" w:cs="Times New Roman"/>
        </w:rPr>
        <w:t>《深圳市财政局关于贯彻落实进一步加大政府采购支持中小企业力度有关事宜的通知》（深财购〔2022〕15号）</w:t>
      </w:r>
    </w:p>
    <w:p w14:paraId="3904EFF7">
      <w:pPr>
        <w:outlineLvl w:val="1"/>
        <w:rPr>
          <w:rFonts w:hint="default" w:ascii="Times New Roman" w:hAnsi="Times New Roman" w:eastAsia="宋体" w:cs="Times New Roman"/>
        </w:rPr>
      </w:pPr>
      <w:r>
        <w:rPr>
          <w:rFonts w:hint="eastAsia" w:cs="Times New Roman"/>
          <w:lang w:val="en-US" w:eastAsia="zh-CN"/>
        </w:rPr>
        <w:t>41</w:t>
      </w:r>
      <w:r>
        <w:rPr>
          <w:rFonts w:hint="default" w:ascii="Times New Roman" w:hAnsi="Times New Roman" w:eastAsia="宋体" w:cs="Times New Roman"/>
        </w:rPr>
        <w:t>.</w:t>
      </w:r>
      <w:r>
        <w:rPr>
          <w:rFonts w:hint="default" w:ascii="Times New Roman" w:hAnsi="Times New Roman" w:eastAsia="宋体" w:cs="Times New Roman"/>
          <w:lang w:val="en-US" w:eastAsia="zh-CN"/>
        </w:rPr>
        <w:t>2</w:t>
      </w:r>
      <w:r>
        <w:rPr>
          <w:rFonts w:hint="default" w:ascii="Times New Roman" w:hAnsi="Times New Roman" w:eastAsia="宋体" w:cs="Times New Roman"/>
        </w:rPr>
        <w:t>执行强制或优先采购节能、环境标志产品政策。</w:t>
      </w:r>
    </w:p>
    <w:p w14:paraId="4B21BAB7">
      <w:pPr>
        <w:rPr>
          <w:rFonts w:hint="default" w:ascii="Times New Roman" w:hAnsi="Times New Roman" w:eastAsia="宋体" w:cs="Times New Roman"/>
          <w:highlight w:val="none"/>
        </w:rPr>
      </w:pPr>
      <w:r>
        <w:rPr>
          <w:rFonts w:hint="default" w:ascii="Times New Roman" w:hAnsi="Times New Roman" w:eastAsia="宋体" w:cs="Times New Roman"/>
        </w:rPr>
        <w:t>《财政部发展改革委生态环境部市场监管总局关于调整 优化节能产品环境标志产品政府采购</w:t>
      </w:r>
      <w:r>
        <w:rPr>
          <w:rFonts w:hint="default" w:ascii="Times New Roman" w:hAnsi="Times New Roman" w:eastAsia="宋体" w:cs="Times New Roman"/>
          <w:highlight w:val="none"/>
        </w:rPr>
        <w:t>执行机制的通知》 (财库〔2019〕9号 )</w:t>
      </w:r>
    </w:p>
    <w:p w14:paraId="067AB0F7">
      <w:pPr>
        <w:rPr>
          <w:rFonts w:hint="default" w:ascii="Times New Roman" w:hAnsi="Times New Roman" w:eastAsia="宋体" w:cs="Times New Roman"/>
          <w:highlight w:val="none"/>
        </w:rPr>
      </w:pPr>
      <w:r>
        <w:rPr>
          <w:rFonts w:hint="default" w:ascii="Times New Roman" w:hAnsi="Times New Roman" w:eastAsia="宋体" w:cs="Times New Roman"/>
          <w:highlight w:val="none"/>
        </w:rPr>
        <w:t>《财政部发展改革委关于印发节能产品政府采购品 目清单的通知》 (财库〔2019〕19号 )</w:t>
      </w:r>
    </w:p>
    <w:p w14:paraId="1FEC0BC9">
      <w:pPr>
        <w:rPr>
          <w:rFonts w:hint="default" w:ascii="Times New Roman" w:hAnsi="Times New Roman" w:eastAsia="宋体" w:cs="Times New Roman"/>
          <w:highlight w:val="none"/>
        </w:rPr>
      </w:pPr>
      <w:r>
        <w:rPr>
          <w:rFonts w:hint="default" w:ascii="Times New Roman" w:hAnsi="Times New Roman" w:eastAsia="宋体" w:cs="Times New Roman"/>
          <w:highlight w:val="none"/>
        </w:rPr>
        <w:t>《财政部生态环境部关于印发环境标志产品政府采 购品目清单的通知》 (财库〔2019〕18号 )</w:t>
      </w:r>
    </w:p>
    <w:p w14:paraId="777F7240">
      <w:pPr>
        <w:outlineLvl w:val="1"/>
        <w:rPr>
          <w:rFonts w:hint="default" w:ascii="Times New Roman" w:hAnsi="Times New Roman" w:eastAsia="宋体" w:cs="Times New Roman"/>
          <w:highlight w:val="none"/>
        </w:rPr>
      </w:pPr>
      <w:r>
        <w:rPr>
          <w:rFonts w:hint="eastAsia" w:cs="Times New Roman"/>
          <w:highlight w:val="none"/>
          <w:lang w:val="en-US" w:eastAsia="zh-CN"/>
        </w:rPr>
        <w:t>41</w:t>
      </w:r>
      <w:r>
        <w:rPr>
          <w:rFonts w:hint="default" w:ascii="Times New Roman" w:hAnsi="Times New Roman" w:eastAsia="宋体" w:cs="Times New Roman"/>
          <w:highlight w:val="none"/>
          <w:lang w:val="en-US" w:eastAsia="zh-CN"/>
        </w:rPr>
        <w:t>.3</w:t>
      </w:r>
      <w:r>
        <w:rPr>
          <w:rFonts w:hint="default" w:ascii="Times New Roman" w:hAnsi="Times New Roman" w:eastAsia="宋体" w:cs="Times New Roman"/>
          <w:highlight w:val="none"/>
        </w:rPr>
        <w:t>执行支持监狱企业发展、促进残疾人就业政府采购政策。</w:t>
      </w:r>
    </w:p>
    <w:p w14:paraId="79115003">
      <w:pPr>
        <w:rPr>
          <w:rFonts w:hint="default" w:ascii="Times New Roman" w:hAnsi="Times New Roman" w:eastAsia="宋体" w:cs="Times New Roman"/>
          <w:highlight w:val="none"/>
          <w:lang w:eastAsia="zh-CN"/>
        </w:rPr>
      </w:pPr>
      <w:r>
        <w:rPr>
          <w:rFonts w:hint="default" w:ascii="Times New Roman" w:hAnsi="Times New Roman" w:eastAsia="宋体" w:cs="Times New Roman"/>
          <w:highlight w:val="none"/>
        </w:rPr>
        <w:t>《中华人民共和国政府采购法实施条例》第六十八条 《财政部司法部关于政府采购支持监狱企业发展有关问题的通知》 (财库〔2014〕68号 )</w:t>
      </w:r>
      <w:r>
        <w:rPr>
          <w:rFonts w:hint="default" w:ascii="Times New Roman" w:hAnsi="Times New Roman" w:eastAsia="宋体" w:cs="Times New Roman"/>
          <w:highlight w:val="none"/>
          <w:lang w:eastAsia="zh-CN"/>
        </w:rPr>
        <w:t>。</w:t>
      </w:r>
    </w:p>
    <w:p w14:paraId="4EF808F0">
      <w:pPr>
        <w:rPr>
          <w:rFonts w:hint="default" w:ascii="Times New Roman" w:hAnsi="Times New Roman" w:eastAsia="宋体" w:cs="Times New Roman"/>
          <w:highlight w:val="none"/>
          <w:lang w:eastAsia="zh-CN"/>
        </w:rPr>
      </w:pPr>
      <w:r>
        <w:rPr>
          <w:rFonts w:hint="default" w:ascii="Times New Roman" w:hAnsi="Times New Roman" w:eastAsia="宋体" w:cs="Times New Roman"/>
          <w:highlight w:val="none"/>
        </w:rPr>
        <w:t>《财政部民政部中国残疾人联合会关于促进残疾人就 业政府采购政策的通知》 (财库〔2017〕141号 )</w:t>
      </w:r>
      <w:r>
        <w:rPr>
          <w:rFonts w:hint="default" w:ascii="Times New Roman" w:hAnsi="Times New Roman" w:eastAsia="宋体" w:cs="Times New Roman"/>
          <w:highlight w:val="none"/>
          <w:lang w:eastAsia="zh-CN"/>
        </w:rPr>
        <w:t>。</w:t>
      </w:r>
    </w:p>
    <w:p w14:paraId="080D0EA9">
      <w:pPr>
        <w:outlineLvl w:val="1"/>
        <w:rPr>
          <w:rFonts w:hint="default" w:ascii="Times New Roman" w:hAnsi="Times New Roman" w:eastAsia="宋体" w:cs="Times New Roman"/>
          <w:highlight w:val="none"/>
        </w:rPr>
      </w:pPr>
      <w:r>
        <w:rPr>
          <w:rFonts w:hint="eastAsia" w:cs="Times New Roman"/>
          <w:highlight w:val="none"/>
          <w:lang w:val="en-US" w:eastAsia="zh-CN"/>
        </w:rPr>
        <w:t>41</w:t>
      </w:r>
      <w:r>
        <w:rPr>
          <w:rFonts w:hint="default" w:ascii="Times New Roman" w:hAnsi="Times New Roman" w:eastAsia="宋体" w:cs="Times New Roman"/>
          <w:highlight w:val="none"/>
        </w:rPr>
        <w:t>.</w:t>
      </w:r>
      <w:r>
        <w:rPr>
          <w:rFonts w:hint="default" w:ascii="Times New Roman" w:hAnsi="Times New Roman" w:eastAsia="宋体" w:cs="Times New Roman"/>
          <w:highlight w:val="none"/>
          <w:lang w:val="en-US" w:eastAsia="zh-CN"/>
        </w:rPr>
        <w:t>4</w:t>
      </w:r>
      <w:r>
        <w:rPr>
          <w:rFonts w:hint="default" w:ascii="Times New Roman" w:hAnsi="Times New Roman" w:eastAsia="宋体" w:cs="Times New Roman"/>
          <w:highlight w:val="none"/>
        </w:rPr>
        <w:t>执行政府采购支持脱贫地区政策。</w:t>
      </w:r>
    </w:p>
    <w:p w14:paraId="16908F42">
      <w:pPr>
        <w:rPr>
          <w:rFonts w:hint="default" w:ascii="Times New Roman" w:hAnsi="Times New Roman" w:eastAsia="宋体" w:cs="Times New Roman"/>
          <w:color w:val="auto"/>
          <w:highlight w:val="none"/>
          <w:lang w:eastAsia="zh-CN"/>
        </w:rPr>
      </w:pPr>
      <w:r>
        <w:rPr>
          <w:rFonts w:hint="default" w:ascii="Times New Roman" w:hAnsi="Times New Roman" w:eastAsia="宋体" w:cs="Times New Roman"/>
          <w:highlight w:val="none"/>
        </w:rPr>
        <w:t>《</w:t>
      </w:r>
      <w:r>
        <w:rPr>
          <w:rFonts w:hint="default" w:ascii="Times New Roman" w:hAnsi="Times New Roman" w:eastAsia="宋体" w:cs="Times New Roman"/>
          <w:color w:val="auto"/>
          <w:highlight w:val="none"/>
        </w:rPr>
        <w:t>财政部农业部国家乡村振兴局关于运用政府采购政 策支持乡村产业振兴的通知》 (财库〔2021〕19号 )</w:t>
      </w:r>
      <w:r>
        <w:rPr>
          <w:rFonts w:hint="default" w:ascii="Times New Roman" w:hAnsi="Times New Roman" w:eastAsia="宋体" w:cs="Times New Roman"/>
          <w:color w:val="auto"/>
          <w:highlight w:val="none"/>
          <w:lang w:eastAsia="zh-CN"/>
        </w:rPr>
        <w:t>。</w:t>
      </w:r>
    </w:p>
    <w:p w14:paraId="7AC0414E">
      <w:pPr>
        <w:rPr>
          <w:rFonts w:hint="default" w:ascii="Times New Roman" w:hAnsi="Times New Roman" w:eastAsia="宋体" w:cs="Times New Roman"/>
          <w:color w:val="auto"/>
          <w:highlight w:val="none"/>
          <w:lang w:val="en-US" w:eastAsia="zh-CN"/>
        </w:rPr>
      </w:pPr>
      <w:r>
        <w:rPr>
          <w:rFonts w:hint="eastAsia" w:cs="Times New Roman"/>
          <w:color w:val="auto"/>
          <w:highlight w:val="none"/>
          <w:lang w:val="en-US" w:eastAsia="zh-CN"/>
        </w:rPr>
        <w:t>41</w:t>
      </w:r>
      <w:r>
        <w:rPr>
          <w:rFonts w:hint="default" w:ascii="Times New Roman" w:hAnsi="Times New Roman" w:eastAsia="宋体" w:cs="Times New Roman"/>
          <w:color w:val="auto"/>
          <w:highlight w:val="none"/>
        </w:rPr>
        <w:t>.</w:t>
      </w:r>
      <w:r>
        <w:rPr>
          <w:rFonts w:hint="default" w:ascii="Times New Roman" w:hAnsi="Times New Roman" w:eastAsia="宋体" w:cs="Times New Roman"/>
          <w:color w:val="auto"/>
          <w:highlight w:val="none"/>
          <w:lang w:val="en-US" w:eastAsia="zh-CN"/>
        </w:rPr>
        <w:t>5</w:t>
      </w:r>
      <w:r>
        <w:rPr>
          <w:rFonts w:hint="default" w:ascii="Times New Roman" w:hAnsi="Times New Roman" w:eastAsia="宋体" w:cs="Times New Roman"/>
          <w:color w:val="auto"/>
          <w:highlight w:val="none"/>
        </w:rPr>
        <w:t>执行商品包装</w:t>
      </w:r>
      <w:r>
        <w:rPr>
          <w:rFonts w:hint="default" w:ascii="Times New Roman" w:hAnsi="Times New Roman" w:eastAsia="宋体" w:cs="Times New Roman"/>
          <w:color w:val="auto"/>
          <w:highlight w:val="none"/>
          <w:lang w:eastAsia="zh-CN"/>
        </w:rPr>
        <w:t>、</w:t>
      </w:r>
      <w:r>
        <w:rPr>
          <w:rFonts w:hint="default" w:ascii="Times New Roman" w:hAnsi="Times New Roman" w:eastAsia="宋体" w:cs="Times New Roman"/>
          <w:color w:val="auto"/>
          <w:highlight w:val="none"/>
        </w:rPr>
        <w:t>快递包装政府采购</w:t>
      </w:r>
      <w:r>
        <w:rPr>
          <w:rFonts w:hint="default" w:ascii="Times New Roman" w:hAnsi="Times New Roman" w:eastAsia="宋体" w:cs="Times New Roman"/>
          <w:color w:val="auto"/>
          <w:highlight w:val="none"/>
          <w:lang w:val="en-US" w:eastAsia="zh-CN"/>
        </w:rPr>
        <w:t>标准</w:t>
      </w:r>
    </w:p>
    <w:p w14:paraId="2BE55768">
      <w:pPr>
        <w:rPr>
          <w:rFonts w:hint="default" w:ascii="Times New Roman" w:hAnsi="Times New Roman" w:cs="Times New Roman" w:eastAsiaTheme="minorEastAsia"/>
          <w:color w:val="auto"/>
          <w:highlight w:val="none"/>
          <w:lang w:eastAsia="zh-CN"/>
        </w:rPr>
      </w:pPr>
      <w:r>
        <w:rPr>
          <w:rFonts w:hint="default" w:ascii="Times New Roman" w:hAnsi="Times New Roman" w:cs="Times New Roman" w:eastAsiaTheme="minorEastAsia"/>
          <w:bCs/>
          <w:color w:val="auto"/>
          <w:sz w:val="21"/>
          <w:szCs w:val="21"/>
          <w:highlight w:val="none"/>
        </w:rPr>
        <w:t>中标单位在履约过程中应严格执行《商品包装政府采购需求标准（试行）》、《快递包装政府采购需求标准（试行）》（财办库〔2020〕123号）、《绿色建筑和绿色建材政府采购需求标准》（财办库〔2022〕35号）、《绿色数据中心政府采购需求标准（试行）》（财办库〔2023〕7号）</w:t>
      </w:r>
      <w:r>
        <w:rPr>
          <w:rFonts w:hint="default" w:ascii="Times New Roman" w:hAnsi="Times New Roman" w:cs="Times New Roman" w:eastAsiaTheme="minorEastAsia"/>
          <w:bCs/>
          <w:color w:val="auto"/>
          <w:sz w:val="21"/>
          <w:szCs w:val="21"/>
          <w:highlight w:val="none"/>
          <w:lang w:eastAsia="zh-CN"/>
        </w:rPr>
        <w:t>。</w:t>
      </w:r>
    </w:p>
    <w:p w14:paraId="5D5D988D">
      <w:pPr>
        <w:outlineLvl w:val="1"/>
        <w:rPr>
          <w:rFonts w:hint="default" w:ascii="Times New Roman" w:hAnsi="Times New Roman" w:eastAsia="宋体" w:cs="Times New Roman"/>
          <w:lang w:val="en-US" w:eastAsia="zh-CN"/>
        </w:rPr>
      </w:pPr>
      <w:r>
        <w:rPr>
          <w:rFonts w:hint="eastAsia" w:cs="Times New Roman"/>
          <w:lang w:val="en-US" w:eastAsia="zh-CN"/>
        </w:rPr>
        <w:t>41</w:t>
      </w:r>
      <w:r>
        <w:rPr>
          <w:rFonts w:hint="default" w:ascii="Times New Roman" w:hAnsi="Times New Roman" w:eastAsia="宋体" w:cs="Times New Roman"/>
          <w:lang w:val="en-US" w:eastAsia="zh-CN"/>
        </w:rPr>
        <w:t>.</w:t>
      </w:r>
      <w:r>
        <w:rPr>
          <w:rFonts w:hint="eastAsia" w:cs="Times New Roman"/>
          <w:lang w:val="en-US" w:eastAsia="zh-CN"/>
        </w:rPr>
        <w:t>6</w:t>
      </w:r>
      <w:r>
        <w:rPr>
          <w:rFonts w:hint="default" w:ascii="Times New Roman" w:hAnsi="Times New Roman" w:eastAsia="宋体" w:cs="Times New Roman"/>
        </w:rPr>
        <w:t>执行</w:t>
      </w:r>
      <w:r>
        <w:rPr>
          <w:rFonts w:hint="default" w:ascii="Times New Roman" w:hAnsi="Times New Roman" w:eastAsia="宋体" w:cs="Times New Roman"/>
          <w:lang w:val="en-US" w:eastAsia="zh-CN"/>
        </w:rPr>
        <w:t>政府采购订单融资政策</w:t>
      </w:r>
    </w:p>
    <w:p w14:paraId="6F0A7EC1">
      <w:pPr>
        <w:rPr>
          <w:rFonts w:hint="default" w:ascii="Times New Roman" w:hAnsi="Times New Roman" w:eastAsia="宋体" w:cs="Times New Roman"/>
          <w:lang w:val="en-US" w:eastAsia="zh-CN"/>
        </w:rPr>
      </w:pPr>
      <w:r>
        <w:rPr>
          <w:rFonts w:hint="default" w:ascii="Times New Roman" w:hAnsi="Times New Roman" w:eastAsia="宋体" w:cs="Times New Roman"/>
          <w:lang w:val="en-US" w:eastAsia="zh-CN"/>
        </w:rPr>
        <w:t>为进一步拓宽企业融资渠道，降低企业融资成本，我市推出政府采购订单融资服务，中标（成交）供应商可以凭借中标（成交）通知书或政府采购合同向金融机构提出融资申请。订单融资具体流程可登录深圳交易集团融资服务平台（http://zfcg.szggzy.com:8081/financeplatform/），相关政策法规参阅深圳市政府采购监管网（http://zfcg.sz.gov.cn/）信息公开栏目。咨询电话：0755­88653386。</w:t>
      </w:r>
    </w:p>
    <w:p w14:paraId="362332C6">
      <w:pPr>
        <w:rPr>
          <w:rFonts w:hint="default" w:ascii="Times New Roman" w:hAnsi="Times New Roman" w:eastAsia="宋体" w:cs="Times New Roman"/>
        </w:rPr>
      </w:pPr>
    </w:p>
    <w:p w14:paraId="17FEA8C7">
      <w:pPr>
        <w:jc w:val="center"/>
        <w:rPr>
          <w:rFonts w:hint="default" w:ascii="Times New Roman" w:hAnsi="Times New Roman" w:eastAsia="宋体" w:cs="Times New Roman"/>
        </w:rPr>
      </w:pPr>
      <w:r>
        <w:rPr>
          <w:rFonts w:hint="default" w:ascii="Times New Roman" w:hAnsi="Times New Roman" w:eastAsia="宋体" w:cs="Times New Roman"/>
        </w:rPr>
        <w:t>---- END ----</w:t>
      </w:r>
    </w:p>
    <w:p w14:paraId="2E47D8FD">
      <w:pPr>
        <w:rPr>
          <w:rFonts w:hint="default" w:ascii="Times New Roman" w:hAnsi="Times New Roman" w:eastAsia="宋体" w:cs="Times New Roman"/>
        </w:rPr>
      </w:pPr>
    </w:p>
    <w:p w14:paraId="01F58F3E">
      <w:pPr>
        <w:rPr>
          <w:rFonts w:hint="default" w:ascii="Times New Roman" w:hAnsi="Times New Roman" w:eastAsia="宋体" w:cs="Times New Roman"/>
        </w:rPr>
      </w:pPr>
    </w:p>
    <w:p w14:paraId="6D656D33">
      <w:pPr>
        <w:rPr>
          <w:rFonts w:hint="default" w:ascii="Times New Roman" w:hAnsi="Times New Roman" w:eastAsia="宋体" w:cs="Times New Roman"/>
        </w:rPr>
      </w:pPr>
    </w:p>
    <w:p w14:paraId="0A79C803">
      <w:pPr>
        <w:pageBreakBefore w:val="0"/>
        <w:kinsoku/>
        <w:overflowPunct/>
        <w:topLinePunct w:val="0"/>
        <w:autoSpaceDE/>
        <w:autoSpaceDN/>
        <w:bidi w:val="0"/>
        <w:spacing w:beforeAutospacing="0" w:afterAutospacing="0" w:line="360" w:lineRule="auto"/>
        <w:ind w:left="0" w:leftChars="0" w:right="0" w:firstLine="0" w:firstLineChars="0"/>
        <w:jc w:val="center"/>
        <w:rPr>
          <w:rFonts w:hint="default" w:ascii="Times New Roman" w:hAnsi="Times New Roman" w:eastAsia="宋体" w:cs="Times New Roman"/>
          <w:highlight w:val="none"/>
        </w:rPr>
      </w:pPr>
    </w:p>
    <w:sectPr>
      <w:headerReference r:id="rId5" w:type="first"/>
      <w:footerReference r:id="rId6" w:type="default"/>
      <w:pgSz w:w="11907" w:h="16840"/>
      <w:pgMar w:top="1440" w:right="1800" w:bottom="1440" w:left="1800" w:header="567" w:footer="567" w:gutter="0"/>
      <w:pgBorders>
        <w:top w:val="none" w:sz="0" w:space="0"/>
        <w:left w:val="none" w:sz="0" w:space="0"/>
        <w:bottom w:val="none" w:sz="0" w:space="0"/>
        <w:right w:val="none" w:sz="0" w:space="0"/>
      </w:pgBorders>
      <w:cols w:space="425" w:num="1"/>
      <w:titlePg/>
      <w:docGrid w:linePitch="46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embedRegular r:id="rId1" w:fontKey="{3370725C-7574-4D0B-A1E4-AA97F8617D13}"/>
  </w:font>
  <w:font w:name="Arial">
    <w:panose1 w:val="020B0604020202020204"/>
    <w:charset w:val="01"/>
    <w:family w:val="swiss"/>
    <w:pitch w:val="default"/>
    <w:sig w:usb0="E0002EFF" w:usb1="C000785B" w:usb2="00000009" w:usb3="00000000" w:csb0="400001FF" w:csb1="FFFF0000"/>
    <w:embedRegular r:id="rId2" w:fontKey="{41520F8D-AA61-4875-8858-A892FB04754F}"/>
  </w:font>
  <w:font w:name="黑体">
    <w:panose1 w:val="02010609060101010101"/>
    <w:charset w:val="86"/>
    <w:family w:val="auto"/>
    <w:pitch w:val="default"/>
    <w:sig w:usb0="800002BF" w:usb1="38CF7CFA" w:usb2="00000016" w:usb3="00000000" w:csb0="00040001" w:csb1="00000000"/>
    <w:embedRegular r:id="rId3" w:fontKey="{AB5E2D9A-11AC-4A2D-8F29-A720CB969EF5}"/>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Unicode MS">
    <w:panose1 w:val="020B0604020202020204"/>
    <w:charset w:val="86"/>
    <w:family w:val="swiss"/>
    <w:pitch w:val="default"/>
    <w:sig w:usb0="FFFFFFFF" w:usb1="E9FFFFFF" w:usb2="0000003F" w:usb3="00000000" w:csb0="603F01FF" w:csb1="FFFF0000"/>
  </w:font>
  <w:font w:name="隶书">
    <w:panose1 w:val="02010509060101010101"/>
    <w:charset w:val="86"/>
    <w:family w:val="modern"/>
    <w:pitch w:val="default"/>
    <w:sig w:usb0="00000001" w:usb1="080E0000" w:usb2="00000000" w:usb3="00000000" w:csb0="00040000" w:csb1="00000000"/>
  </w:font>
  <w:font w:name="Verdana">
    <w:panose1 w:val="020B0604030504040204"/>
    <w:charset w:val="00"/>
    <w:family w:val="swiss"/>
    <w:pitch w:val="default"/>
    <w:sig w:usb0="A00006FF" w:usb1="4000205B" w:usb2="00000010" w:usb3="00000000" w:csb0="2000019F" w:csb1="00000000"/>
  </w:font>
  <w:font w:name="仿宋_GB2312">
    <w:altName w:val="仿宋"/>
    <w:panose1 w:val="02010609030101010101"/>
    <w:charset w:val="86"/>
    <w:family w:val="modern"/>
    <w:pitch w:val="default"/>
    <w:sig w:usb0="00000000" w:usb1="00000000" w:usb2="00000000" w:usb3="00000000" w:csb0="00040000" w:csb1="00000000"/>
    <w:embedRegular r:id="rId4" w:fontKey="{973CC9A8-6D48-4C17-9AAB-0A87914BF37C}"/>
  </w:font>
  <w:font w:name="仿宋">
    <w:panose1 w:val="02010609060101010101"/>
    <w:charset w:val="86"/>
    <w:family w:val="auto"/>
    <w:pitch w:val="default"/>
    <w:sig w:usb0="800002BF" w:usb1="38CF7CFA" w:usb2="00000016" w:usb3="00000000" w:csb0="00040001" w:csb1="00000000"/>
    <w:embedRegular r:id="rId5" w:fontKey="{A7B14B12-5C32-4540-AAC5-8DB65D6267D9}"/>
  </w:font>
  <w:font w:name="长城仿宋">
    <w:altName w:val="仿宋"/>
    <w:panose1 w:val="00000000000000000000"/>
    <w:charset w:val="86"/>
    <w:family w:val="modern"/>
    <w:pitch w:val="default"/>
    <w:sig w:usb0="00000000" w:usb1="00000000" w:usb2="00000010" w:usb3="00000000" w:csb0="00040000" w:csb1="00000000"/>
  </w:font>
  <w:font w:name="Helvetica">
    <w:altName w:val="Arial"/>
    <w:panose1 w:val="020B0604020202030204"/>
    <w:charset w:val="00"/>
    <w:family w:val="swiss"/>
    <w:pitch w:val="default"/>
    <w:sig w:usb0="00000000" w:usb1="00000000" w:usb2="00000000" w:usb3="00000000" w:csb0="00000093" w:csb1="00000000"/>
  </w:font>
  <w:font w:name="Tahoma">
    <w:panose1 w:val="020B0604030504040204"/>
    <w:charset w:val="00"/>
    <w:family w:val="swiss"/>
    <w:pitch w:val="default"/>
    <w:sig w:usb0="E1002EFF" w:usb1="C000605B" w:usb2="00000029" w:usb3="00000000" w:csb0="200101FF" w:csb1="20280000"/>
  </w:font>
  <w:font w:name="文鼎粗黑">
    <w:altName w:val="黑体"/>
    <w:panose1 w:val="00000000000000000000"/>
    <w:charset w:val="86"/>
    <w:family w:val="modern"/>
    <w:pitch w:val="default"/>
    <w:sig w:usb0="00000000" w:usb1="00000000" w:usb2="00000010" w:usb3="00000000" w:csb0="00040000" w:csb1="00000000"/>
  </w:font>
  <w:font w:name="Arial (W1)">
    <w:altName w:val="Arial"/>
    <w:panose1 w:val="00000000000000000000"/>
    <w:charset w:val="00"/>
    <w:family w:val="swiss"/>
    <w:pitch w:val="default"/>
    <w:sig w:usb0="00000000" w:usb1="00000000" w:usb2="00000009" w:usb3="00000000" w:csb0="000001FF" w:csb1="00000000"/>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auto"/>
    <w:pitch w:val="default"/>
    <w:sig w:usb0="00000000" w:usb1="00000000" w:usb2="00000000" w:usb3="00000000" w:csb0="00040001" w:csb1="00000000"/>
  </w:font>
  <w:font w:name="??">
    <w:altName w:val="Times New Roman"/>
    <w:panose1 w:val="00000000000000000000"/>
    <w:charset w:val="01"/>
    <w:family w:val="auto"/>
    <w:pitch w:val="default"/>
    <w:sig w:usb0="00000000" w:usb1="00000000" w:usb2="00000000" w:usb3="00000000" w:csb0="00040001" w:csb1="00000000"/>
  </w:font>
  <w:font w:name="汉仪细等线简">
    <w:altName w:val="宋体"/>
    <w:panose1 w:val="00000000000000000000"/>
    <w:charset w:val="86"/>
    <w:family w:val="modern"/>
    <w:pitch w:val="default"/>
    <w:sig w:usb0="00000000" w:usb1="00000000" w:usb2="00000012" w:usb3="00000000" w:csb0="00040000" w:csb1="00000000"/>
  </w:font>
  <w:font w:name="H Yb 2gj">
    <w:altName w:val="黑体"/>
    <w:panose1 w:val="00000000000000000000"/>
    <w:charset w:val="86"/>
    <w:family w:val="auto"/>
    <w:pitch w:val="default"/>
    <w:sig w:usb0="00000000" w:usb1="00000000" w:usb2="00000010" w:usb3="00000000" w:csb0="00040000" w:csb1="00000000"/>
  </w:font>
  <w:font w:name="幼圆">
    <w:panose1 w:val="02010509060101010101"/>
    <w:charset w:val="86"/>
    <w:family w:val="modern"/>
    <w:pitch w:val="default"/>
    <w:sig w:usb0="00000001" w:usb1="080E0000" w:usb2="00000000" w:usb3="00000000" w:csb0="00040000" w:csb1="00000000"/>
  </w:font>
  <w:font w:name="Arial Narrow">
    <w:panose1 w:val="020B0606020202030204"/>
    <w:charset w:val="00"/>
    <w:family w:val="swiss"/>
    <w:pitch w:val="default"/>
    <w:sig w:usb0="00000287" w:usb1="00000800" w:usb2="00000000" w:usb3="00000000" w:csb0="2000009F" w:csb1="DFD70000"/>
  </w:font>
  <w:font w:name="微软雅黑">
    <w:panose1 w:val="020B0503020204020204"/>
    <w:charset w:val="86"/>
    <w:family w:val="auto"/>
    <w:pitch w:val="default"/>
    <w:sig w:usb0="80000287" w:usb1="2ACF3C50" w:usb2="00000016" w:usb3="00000000" w:csb0="0004001F" w:csb1="00000000"/>
    <w:embedRegular r:id="rId6" w:fontKey="{231E5F85-882B-43E4-A52B-9E095DCE6EDC}"/>
  </w:font>
  <w:font w:name="PMingLiU">
    <w:altName w:val="PMingLiU-ExtB"/>
    <w:panose1 w:val="02020500000000000000"/>
    <w:charset w:val="88"/>
    <w:family w:val="roman"/>
    <w:pitch w:val="default"/>
    <w:sig w:usb0="00000000" w:usb1="00000000" w:usb2="00000016" w:usb3="00000000" w:csb0="00100001" w:csb1="00000000"/>
  </w:font>
  <w:font w:name="方正小标宋简体">
    <w:panose1 w:val="02000000000000000000"/>
    <w:charset w:val="86"/>
    <w:family w:val="script"/>
    <w:pitch w:val="default"/>
    <w:sig w:usb0="00000001" w:usb1="08000000" w:usb2="00000000" w:usb3="00000000" w:csb0="00040000" w:csb1="00000000"/>
    <w:embedRegular r:id="rId7" w:fontKey="{09DD17DC-AB12-4C9E-95D4-7EEFE248F7A9}"/>
  </w:font>
  <w:font w:name="FangSong_GB2312">
    <w:altName w:val="仿宋"/>
    <w:panose1 w:val="00000000000000000000"/>
    <w:charset w:val="86"/>
    <w:family w:val="auto"/>
    <w:pitch w:val="default"/>
    <w:sig w:usb0="00000000" w:usb1="00000000" w:usb2="00000000" w:usb3="00000000" w:csb0="00040000" w:csb1="00000000"/>
    <w:embedRegular r:id="rId8" w:fontKey="{59CC18A1-ECEF-4222-B9FA-720B45A717B0}"/>
  </w:font>
  <w:font w:name="PMingLiU-ExtB">
    <w:panose1 w:val="02020500000000000000"/>
    <w:charset w:val="88"/>
    <w:family w:val="auto"/>
    <w:pitch w:val="default"/>
    <w:sig w:usb0="8000002F" w:usb1="02000008" w:usb2="00000000" w:usb3="00000000" w:csb0="00100001" w:csb1="00000000"/>
  </w:font>
  <w:font w:name="WPSEMBED2">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78BC53">
    <w:pPr>
      <w:pStyle w:val="29"/>
      <w:jc w:val="center"/>
    </w:pPr>
  </w:p>
  <w:p w14:paraId="34848821">
    <w:pPr>
      <w:pStyle w:val="2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A90922">
    <w:pPr>
      <w:pStyle w:val="29"/>
      <w:framePr w:wrap="around" w:vAnchor="text" w:hAnchor="margin" w:xAlign="center" w:y="1"/>
      <w:rPr>
        <w:rStyle w:val="50"/>
      </w:rPr>
    </w:pPr>
    <w:r>
      <w:t xml:space="preserve">- </w:t>
    </w:r>
    <w:r>
      <w:fldChar w:fldCharType="begin"/>
    </w:r>
    <w:r>
      <w:instrText xml:space="preserve"> PAGE </w:instrText>
    </w:r>
    <w:r>
      <w:fldChar w:fldCharType="separate"/>
    </w:r>
    <w:r>
      <w:t>8</w:t>
    </w:r>
    <w:r>
      <w:fldChar w:fldCharType="end"/>
    </w:r>
    <w:r>
      <w:t xml:space="preserve"> -</w:t>
    </w:r>
  </w:p>
  <w:p w14:paraId="1B2A8E2A">
    <w:pPr>
      <w:pStyle w:val="29"/>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AA4CCC">
    <w:pPr>
      <w:pStyle w:val="30"/>
      <w:jc w:val="left"/>
    </w:pPr>
    <w:r>
      <w:drawing>
        <wp:inline distT="0" distB="0" distL="114300" distR="114300">
          <wp:extent cx="610235" cy="452755"/>
          <wp:effectExtent l="0" t="0" r="18415" b="444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
                  <a:stretch>
                    <a:fillRect/>
                  </a:stretch>
                </pic:blipFill>
                <pic:spPr>
                  <a:xfrm>
                    <a:off x="0" y="0"/>
                    <a:ext cx="610235" cy="452755"/>
                  </a:xfrm>
                  <a:prstGeom prst="rect">
                    <a:avLst/>
                  </a:prstGeom>
                  <a:noFill/>
                  <a:ln>
                    <a:noFill/>
                  </a:ln>
                </pic:spPr>
              </pic:pic>
            </a:graphicData>
          </a:graphic>
        </wp:inline>
      </w:drawing>
    </w:r>
    <w:r>
      <w:rPr>
        <w:color w:val="7F7F7F"/>
        <w:sz w:val="21"/>
        <w:szCs w:val="21"/>
      </w:rPr>
      <w:t>深圳信德招标服务有限公司</w:t>
    </w:r>
  </w:p>
  <w:p w14:paraId="5AF22FB8">
    <w:pPr>
      <w:pStyle w:val="30"/>
      <w:pBdr>
        <w:bottom w:val="none" w:color="auto" w:sz="0" w:space="0"/>
      </w:pBdr>
      <w:jc w:val="both"/>
      <w:rPr>
        <w:rFonts w:hint="eastAsia" w:eastAsia="宋体"/>
        <w:lang w:eastAsia="zh-CN"/>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425045">
    <w:pPr>
      <w:pStyle w:val="30"/>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76725A9"/>
    <w:multiLevelType w:val="singleLevel"/>
    <w:tmpl w:val="D76725A9"/>
    <w:lvl w:ilvl="0" w:tentative="0">
      <w:start w:val="2"/>
      <w:numFmt w:val="decimal"/>
      <w:suff w:val="nothing"/>
      <w:lvlText w:val="%1、"/>
      <w:lvlJc w:val="left"/>
      <w:pPr>
        <w:ind w:left="630" w:leftChars="0" w:firstLine="0" w:firstLineChars="0"/>
      </w:pPr>
    </w:lvl>
  </w:abstractNum>
  <w:abstractNum w:abstractNumId="1">
    <w:nsid w:val="FFFFFF7C"/>
    <w:multiLevelType w:val="singleLevel"/>
    <w:tmpl w:val="FFFFFF7C"/>
    <w:lvl w:ilvl="0" w:tentative="0">
      <w:start w:val="1"/>
      <w:numFmt w:val="decimal"/>
      <w:pStyle w:val="62"/>
      <w:lvlText w:val="%1."/>
      <w:lvlJc w:val="left"/>
      <w:pPr>
        <w:tabs>
          <w:tab w:val="left" w:pos="7994"/>
        </w:tabs>
        <w:ind w:left="7994" w:leftChars="800" w:hanging="360" w:hangingChars="200"/>
      </w:pPr>
    </w:lvl>
  </w:abstractNum>
  <w:abstractNum w:abstractNumId="2">
    <w:nsid w:val="FFFFFF89"/>
    <w:multiLevelType w:val="singleLevel"/>
    <w:tmpl w:val="FFFFFF89"/>
    <w:lvl w:ilvl="0" w:tentative="0">
      <w:start w:val="1"/>
      <w:numFmt w:val="bullet"/>
      <w:pStyle w:val="15"/>
      <w:lvlText w:val=""/>
      <w:lvlJc w:val="left"/>
      <w:pPr>
        <w:tabs>
          <w:tab w:val="left" w:pos="360"/>
        </w:tabs>
        <w:ind w:left="360" w:hanging="360" w:hangingChars="200"/>
      </w:pPr>
      <w:rPr>
        <w:rFonts w:hint="default" w:ascii="Wingdings" w:hAnsi="Wingdings"/>
      </w:rPr>
    </w:lvl>
  </w:abstractNum>
  <w:abstractNum w:abstractNumId="3">
    <w:nsid w:val="0AAFCB91"/>
    <w:multiLevelType w:val="singleLevel"/>
    <w:tmpl w:val="0AAFCB91"/>
    <w:lvl w:ilvl="0" w:tentative="0">
      <w:start w:val="2"/>
      <w:numFmt w:val="chineseCounting"/>
      <w:suff w:val="nothing"/>
      <w:lvlText w:val="%1、"/>
      <w:lvlJc w:val="left"/>
      <w:rPr>
        <w:rFonts w:hint="eastAsia"/>
      </w:rPr>
    </w:lvl>
  </w:abstractNum>
  <w:abstractNum w:abstractNumId="4">
    <w:nsid w:val="12503483"/>
    <w:multiLevelType w:val="multilevel"/>
    <w:tmpl w:val="12503483"/>
    <w:lvl w:ilvl="0" w:tentative="0">
      <w:start w:val="1"/>
      <w:numFmt w:val="bullet"/>
      <w:pStyle w:val="110"/>
      <w:lvlText w:val=""/>
      <w:lvlJc w:val="left"/>
      <w:pPr>
        <w:tabs>
          <w:tab w:val="left" w:pos="420"/>
        </w:tabs>
        <w:ind w:left="420" w:hanging="420"/>
      </w:pPr>
      <w:rPr>
        <w:rFonts w:hint="default" w:ascii="Wingdings" w:hAnsi="Wingdings"/>
      </w:rPr>
    </w:lvl>
    <w:lvl w:ilvl="1" w:tentative="0">
      <w:start w:val="1"/>
      <w:numFmt w:val="bullet"/>
      <w:pStyle w:val="109"/>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5">
    <w:nsid w:val="160D20D0"/>
    <w:multiLevelType w:val="multilevel"/>
    <w:tmpl w:val="160D20D0"/>
    <w:lvl w:ilvl="0" w:tentative="0">
      <w:start w:val="1"/>
      <w:numFmt w:val="bullet"/>
      <w:pStyle w:val="78"/>
      <w:lvlText w:val=""/>
      <w:lvlJc w:val="left"/>
      <w:pPr>
        <w:tabs>
          <w:tab w:val="left" w:pos="840"/>
        </w:tabs>
        <w:ind w:left="840" w:hanging="420"/>
      </w:pPr>
      <w:rPr>
        <w:rFonts w:hint="default" w:ascii="Wingdings" w:hAnsi="Wingdings"/>
      </w:rPr>
    </w:lvl>
    <w:lvl w:ilvl="1" w:tentative="0">
      <w:start w:val="1"/>
      <w:numFmt w:val="bullet"/>
      <w:pStyle w:val="79"/>
      <w:lvlText w:val=""/>
      <w:lvlJc w:val="left"/>
      <w:pPr>
        <w:tabs>
          <w:tab w:val="left" w:pos="1260"/>
        </w:tabs>
        <w:ind w:left="1260" w:hanging="420"/>
      </w:pPr>
      <w:rPr>
        <w:rFonts w:hint="default" w:ascii="Wingdings" w:hAnsi="Wingdings"/>
      </w:rPr>
    </w:lvl>
    <w:lvl w:ilvl="2" w:tentative="0">
      <w:start w:val="1"/>
      <w:numFmt w:val="bullet"/>
      <w:lvlText w:val=""/>
      <w:lvlJc w:val="left"/>
      <w:pPr>
        <w:tabs>
          <w:tab w:val="left" w:pos="1680"/>
        </w:tabs>
        <w:ind w:left="1680" w:hanging="420"/>
      </w:pPr>
      <w:rPr>
        <w:rFonts w:hint="default" w:ascii="Wingdings" w:hAnsi="Wingdings"/>
      </w:rPr>
    </w:lvl>
    <w:lvl w:ilvl="3" w:tentative="0">
      <w:start w:val="1"/>
      <w:numFmt w:val="bullet"/>
      <w:lvlText w:val=""/>
      <w:lvlJc w:val="left"/>
      <w:pPr>
        <w:tabs>
          <w:tab w:val="left" w:pos="2100"/>
        </w:tabs>
        <w:ind w:left="2100" w:hanging="420"/>
      </w:pPr>
      <w:rPr>
        <w:rFonts w:hint="default" w:ascii="Wingdings" w:hAnsi="Wingdings"/>
      </w:rPr>
    </w:lvl>
    <w:lvl w:ilvl="4" w:tentative="0">
      <w:start w:val="1"/>
      <w:numFmt w:val="bullet"/>
      <w:lvlText w:val=""/>
      <w:lvlJc w:val="left"/>
      <w:pPr>
        <w:tabs>
          <w:tab w:val="left" w:pos="2520"/>
        </w:tabs>
        <w:ind w:left="2520" w:hanging="420"/>
      </w:pPr>
      <w:rPr>
        <w:rFonts w:hint="default" w:ascii="Wingdings" w:hAnsi="Wingdings"/>
      </w:rPr>
    </w:lvl>
    <w:lvl w:ilvl="5" w:tentative="0">
      <w:start w:val="1"/>
      <w:numFmt w:val="bullet"/>
      <w:lvlText w:val=""/>
      <w:lvlJc w:val="left"/>
      <w:pPr>
        <w:tabs>
          <w:tab w:val="left" w:pos="2940"/>
        </w:tabs>
        <w:ind w:left="2940" w:hanging="420"/>
      </w:pPr>
      <w:rPr>
        <w:rFonts w:hint="default" w:ascii="Wingdings" w:hAnsi="Wingdings"/>
      </w:rPr>
    </w:lvl>
    <w:lvl w:ilvl="6" w:tentative="0">
      <w:start w:val="1"/>
      <w:numFmt w:val="bullet"/>
      <w:lvlText w:val=""/>
      <w:lvlJc w:val="left"/>
      <w:pPr>
        <w:tabs>
          <w:tab w:val="left" w:pos="3360"/>
        </w:tabs>
        <w:ind w:left="3360" w:hanging="420"/>
      </w:pPr>
      <w:rPr>
        <w:rFonts w:hint="default" w:ascii="Wingdings" w:hAnsi="Wingdings"/>
      </w:rPr>
    </w:lvl>
    <w:lvl w:ilvl="7" w:tentative="0">
      <w:start w:val="1"/>
      <w:numFmt w:val="bullet"/>
      <w:lvlText w:val=""/>
      <w:lvlJc w:val="left"/>
      <w:pPr>
        <w:tabs>
          <w:tab w:val="left" w:pos="3780"/>
        </w:tabs>
        <w:ind w:left="3780" w:hanging="420"/>
      </w:pPr>
      <w:rPr>
        <w:rFonts w:hint="default" w:ascii="Wingdings" w:hAnsi="Wingdings"/>
      </w:rPr>
    </w:lvl>
    <w:lvl w:ilvl="8" w:tentative="0">
      <w:start w:val="1"/>
      <w:numFmt w:val="bullet"/>
      <w:lvlText w:val=""/>
      <w:lvlJc w:val="left"/>
      <w:pPr>
        <w:tabs>
          <w:tab w:val="left" w:pos="4200"/>
        </w:tabs>
        <w:ind w:left="4200" w:hanging="420"/>
      </w:pPr>
      <w:rPr>
        <w:rFonts w:hint="default" w:ascii="Wingdings" w:hAnsi="Wingdings"/>
      </w:rPr>
    </w:lvl>
  </w:abstractNum>
  <w:abstractNum w:abstractNumId="6">
    <w:nsid w:val="24714A5A"/>
    <w:multiLevelType w:val="multilevel"/>
    <w:tmpl w:val="24714A5A"/>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7">
    <w:nsid w:val="2F395B7B"/>
    <w:multiLevelType w:val="multilevel"/>
    <w:tmpl w:val="2F395B7B"/>
    <w:lvl w:ilvl="0" w:tentative="0">
      <w:start w:val="1"/>
      <w:numFmt w:val="bullet"/>
      <w:pStyle w:val="170"/>
      <w:lvlText w:val=""/>
      <w:lvlJc w:val="left"/>
      <w:pPr>
        <w:tabs>
          <w:tab w:val="left" w:pos="360"/>
        </w:tabs>
        <w:ind w:left="360" w:hanging="360"/>
      </w:pPr>
      <w:rPr>
        <w:rFonts w:hint="default" w:ascii="Symbol" w:hAnsi="Symbol"/>
      </w:rPr>
    </w:lvl>
    <w:lvl w:ilvl="1" w:tentative="0">
      <w:start w:val="1"/>
      <w:numFmt w:val="bullet"/>
      <w:lvlText w:val=""/>
      <w:lvlJc w:val="left"/>
      <w:pPr>
        <w:tabs>
          <w:tab w:val="left" w:pos="1140"/>
        </w:tabs>
        <w:ind w:left="1140" w:hanging="420"/>
      </w:pPr>
      <w:rPr>
        <w:rFonts w:hint="default" w:ascii="Wingdings" w:hAnsi="Wingdings"/>
      </w:rPr>
    </w:lvl>
    <w:lvl w:ilvl="2" w:tentative="0">
      <w:start w:val="1"/>
      <w:numFmt w:val="bullet"/>
      <w:lvlText w:val=""/>
      <w:lvlJc w:val="left"/>
      <w:pPr>
        <w:tabs>
          <w:tab w:val="left" w:pos="1800"/>
        </w:tabs>
        <w:ind w:left="1800" w:hanging="360"/>
      </w:pPr>
      <w:rPr>
        <w:rFonts w:hint="default" w:ascii="Wingdings" w:hAnsi="Wingdings"/>
      </w:rPr>
    </w:lvl>
    <w:lvl w:ilvl="3" w:tentative="0">
      <w:start w:val="1"/>
      <w:numFmt w:val="bullet"/>
      <w:lvlText w:val=""/>
      <w:lvlJc w:val="left"/>
      <w:pPr>
        <w:tabs>
          <w:tab w:val="left" w:pos="2520"/>
        </w:tabs>
        <w:ind w:left="2520" w:hanging="360"/>
      </w:pPr>
      <w:rPr>
        <w:rFonts w:hint="default" w:ascii="Symbol" w:hAnsi="Symbol"/>
      </w:rPr>
    </w:lvl>
    <w:lvl w:ilvl="4" w:tentative="0">
      <w:start w:val="1"/>
      <w:numFmt w:val="bullet"/>
      <w:lvlText w:val="o"/>
      <w:lvlJc w:val="left"/>
      <w:pPr>
        <w:tabs>
          <w:tab w:val="left" w:pos="3240"/>
        </w:tabs>
        <w:ind w:left="3240" w:hanging="360"/>
      </w:pPr>
      <w:rPr>
        <w:rFonts w:hint="default" w:ascii="Courier New" w:hAnsi="Courier New" w:cs="Courier New"/>
      </w:rPr>
    </w:lvl>
    <w:lvl w:ilvl="5" w:tentative="0">
      <w:start w:val="1"/>
      <w:numFmt w:val="bullet"/>
      <w:lvlText w:val=""/>
      <w:lvlJc w:val="left"/>
      <w:pPr>
        <w:tabs>
          <w:tab w:val="left" w:pos="3960"/>
        </w:tabs>
        <w:ind w:left="3960" w:hanging="360"/>
      </w:pPr>
      <w:rPr>
        <w:rFonts w:hint="default" w:ascii="Wingdings" w:hAnsi="Wingdings"/>
      </w:rPr>
    </w:lvl>
    <w:lvl w:ilvl="6" w:tentative="0">
      <w:start w:val="1"/>
      <w:numFmt w:val="bullet"/>
      <w:lvlText w:val=""/>
      <w:lvlJc w:val="left"/>
      <w:pPr>
        <w:tabs>
          <w:tab w:val="left" w:pos="4680"/>
        </w:tabs>
        <w:ind w:left="4680" w:hanging="360"/>
      </w:pPr>
      <w:rPr>
        <w:rFonts w:hint="default" w:ascii="Symbol" w:hAnsi="Symbol"/>
      </w:rPr>
    </w:lvl>
    <w:lvl w:ilvl="7" w:tentative="0">
      <w:start w:val="1"/>
      <w:numFmt w:val="bullet"/>
      <w:lvlText w:val="o"/>
      <w:lvlJc w:val="left"/>
      <w:pPr>
        <w:tabs>
          <w:tab w:val="left" w:pos="5400"/>
        </w:tabs>
        <w:ind w:left="5400" w:hanging="360"/>
      </w:pPr>
      <w:rPr>
        <w:rFonts w:hint="default" w:ascii="Courier New" w:hAnsi="Courier New" w:cs="Courier New"/>
      </w:rPr>
    </w:lvl>
    <w:lvl w:ilvl="8" w:tentative="0">
      <w:start w:val="1"/>
      <w:numFmt w:val="bullet"/>
      <w:lvlText w:val=""/>
      <w:lvlJc w:val="left"/>
      <w:pPr>
        <w:tabs>
          <w:tab w:val="left" w:pos="6120"/>
        </w:tabs>
        <w:ind w:left="6120" w:hanging="360"/>
      </w:pPr>
      <w:rPr>
        <w:rFonts w:hint="default" w:ascii="Wingdings" w:hAnsi="Wingdings"/>
      </w:rPr>
    </w:lvl>
  </w:abstractNum>
  <w:abstractNum w:abstractNumId="8">
    <w:nsid w:val="70D7F10B"/>
    <w:multiLevelType w:val="singleLevel"/>
    <w:tmpl w:val="70D7F10B"/>
    <w:lvl w:ilvl="0" w:tentative="0">
      <w:start w:val="3"/>
      <w:numFmt w:val="chineseCounting"/>
      <w:suff w:val="nothing"/>
      <w:lvlText w:val="（%1）"/>
      <w:lvlJc w:val="left"/>
      <w:rPr>
        <w:rFonts w:hint="eastAsia"/>
      </w:rPr>
    </w:lvl>
  </w:abstractNum>
  <w:abstractNum w:abstractNumId="9">
    <w:nsid w:val="7AEF7716"/>
    <w:multiLevelType w:val="multilevel"/>
    <w:tmpl w:val="7AEF7716"/>
    <w:lvl w:ilvl="0" w:tentative="0">
      <w:start w:val="1"/>
      <w:numFmt w:val="chineseCountingThousand"/>
      <w:pStyle w:val="123"/>
      <w:lvlText w:val="%1"/>
      <w:lvlJc w:val="left"/>
      <w:pPr>
        <w:tabs>
          <w:tab w:val="left" w:pos="1290"/>
        </w:tabs>
        <w:ind w:left="630" w:hanging="420"/>
      </w:pPr>
      <w:rPr>
        <w:rFonts w:hint="eastAsia"/>
        <w:sz w:val="32"/>
        <w:szCs w:val="32"/>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0">
    <w:nsid w:val="7C2D25F0"/>
    <w:multiLevelType w:val="multilevel"/>
    <w:tmpl w:val="7C2D25F0"/>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2"/>
  </w:num>
  <w:num w:numId="2">
    <w:abstractNumId w:val="1"/>
  </w:num>
  <w:num w:numId="3">
    <w:abstractNumId w:val="5"/>
  </w:num>
  <w:num w:numId="4">
    <w:abstractNumId w:val="4"/>
  </w:num>
  <w:num w:numId="5">
    <w:abstractNumId w:val="9"/>
  </w:num>
  <w:num w:numId="6">
    <w:abstractNumId w:val="7"/>
  </w:num>
  <w:num w:numId="7">
    <w:abstractNumId w:val="10"/>
  </w:num>
  <w:num w:numId="8">
    <w:abstractNumId w:val="6"/>
  </w:num>
  <w:num w:numId="9">
    <w:abstractNumId w:val="3"/>
  </w:num>
  <w:num w:numId="10">
    <w:abstractNumId w:val="8"/>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hideSpellingErrors/>
  <w:trackRevisions w:val="1"/>
  <w:documentProtection w:enforcement="0"/>
  <w:defaultTabStop w:val="420"/>
  <w:displayHorizontalDrawingGridEvery w:val="1"/>
  <w:displayVerticalDrawingGridEvery w:val="1"/>
  <w:noPunctuationKerning w:val="1"/>
  <w:characterSpacingControl w:val="doNotCompress"/>
  <w:compat>
    <w:doNotExpandShiftReturn/>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Q3MjAxZTg2NTMzMjU0MTliYWNmYTY2MTdhZDhlZjgifQ=="/>
  </w:docVars>
  <w:rsids>
    <w:rsidRoot w:val="006C5683"/>
    <w:rsid w:val="000006EA"/>
    <w:rsid w:val="00000AD9"/>
    <w:rsid w:val="000043C0"/>
    <w:rsid w:val="00004F2D"/>
    <w:rsid w:val="000050CA"/>
    <w:rsid w:val="000051C6"/>
    <w:rsid w:val="00005215"/>
    <w:rsid w:val="00005A10"/>
    <w:rsid w:val="00005D3D"/>
    <w:rsid w:val="0000667D"/>
    <w:rsid w:val="00006F7B"/>
    <w:rsid w:val="00007951"/>
    <w:rsid w:val="00010063"/>
    <w:rsid w:val="00010102"/>
    <w:rsid w:val="0001019E"/>
    <w:rsid w:val="00011EA6"/>
    <w:rsid w:val="00012640"/>
    <w:rsid w:val="00012B21"/>
    <w:rsid w:val="0001300F"/>
    <w:rsid w:val="0001480D"/>
    <w:rsid w:val="00014A5C"/>
    <w:rsid w:val="00015388"/>
    <w:rsid w:val="0001716B"/>
    <w:rsid w:val="00017F81"/>
    <w:rsid w:val="000211EA"/>
    <w:rsid w:val="000234B2"/>
    <w:rsid w:val="00025AE4"/>
    <w:rsid w:val="0002684B"/>
    <w:rsid w:val="00026A57"/>
    <w:rsid w:val="00027645"/>
    <w:rsid w:val="000300AE"/>
    <w:rsid w:val="000300EE"/>
    <w:rsid w:val="000302B6"/>
    <w:rsid w:val="0003106D"/>
    <w:rsid w:val="00031317"/>
    <w:rsid w:val="00031700"/>
    <w:rsid w:val="00031F6E"/>
    <w:rsid w:val="0003277F"/>
    <w:rsid w:val="00032948"/>
    <w:rsid w:val="00032B0A"/>
    <w:rsid w:val="0003315D"/>
    <w:rsid w:val="00033DE7"/>
    <w:rsid w:val="0003541F"/>
    <w:rsid w:val="00036A2B"/>
    <w:rsid w:val="00040D3C"/>
    <w:rsid w:val="00042C84"/>
    <w:rsid w:val="00043621"/>
    <w:rsid w:val="00043739"/>
    <w:rsid w:val="00043A89"/>
    <w:rsid w:val="00045739"/>
    <w:rsid w:val="00046D30"/>
    <w:rsid w:val="000510B6"/>
    <w:rsid w:val="00051133"/>
    <w:rsid w:val="00051F3F"/>
    <w:rsid w:val="000521D8"/>
    <w:rsid w:val="00052BC1"/>
    <w:rsid w:val="00053A89"/>
    <w:rsid w:val="0005582B"/>
    <w:rsid w:val="00055BD9"/>
    <w:rsid w:val="00056247"/>
    <w:rsid w:val="00056292"/>
    <w:rsid w:val="00056C11"/>
    <w:rsid w:val="00057302"/>
    <w:rsid w:val="00057332"/>
    <w:rsid w:val="00057D00"/>
    <w:rsid w:val="00060A3D"/>
    <w:rsid w:val="00060C1C"/>
    <w:rsid w:val="00061D20"/>
    <w:rsid w:val="0006267A"/>
    <w:rsid w:val="0006335B"/>
    <w:rsid w:val="00063C25"/>
    <w:rsid w:val="00064892"/>
    <w:rsid w:val="00066026"/>
    <w:rsid w:val="0006660A"/>
    <w:rsid w:val="0006670C"/>
    <w:rsid w:val="00067960"/>
    <w:rsid w:val="0007003A"/>
    <w:rsid w:val="00070210"/>
    <w:rsid w:val="000707BF"/>
    <w:rsid w:val="00072B70"/>
    <w:rsid w:val="00072CB4"/>
    <w:rsid w:val="000734CD"/>
    <w:rsid w:val="00074403"/>
    <w:rsid w:val="000750DC"/>
    <w:rsid w:val="00075497"/>
    <w:rsid w:val="0007583C"/>
    <w:rsid w:val="00075E26"/>
    <w:rsid w:val="00076057"/>
    <w:rsid w:val="000770EC"/>
    <w:rsid w:val="00080613"/>
    <w:rsid w:val="00082667"/>
    <w:rsid w:val="00082AD2"/>
    <w:rsid w:val="00083DC6"/>
    <w:rsid w:val="00084857"/>
    <w:rsid w:val="000849B8"/>
    <w:rsid w:val="000850AF"/>
    <w:rsid w:val="000852EB"/>
    <w:rsid w:val="000869D8"/>
    <w:rsid w:val="00086CA6"/>
    <w:rsid w:val="00090213"/>
    <w:rsid w:val="00092FC7"/>
    <w:rsid w:val="00093133"/>
    <w:rsid w:val="0009395E"/>
    <w:rsid w:val="00094C6E"/>
    <w:rsid w:val="000954D5"/>
    <w:rsid w:val="00095723"/>
    <w:rsid w:val="00095A74"/>
    <w:rsid w:val="0009618D"/>
    <w:rsid w:val="0009709B"/>
    <w:rsid w:val="000975E3"/>
    <w:rsid w:val="000A1DD1"/>
    <w:rsid w:val="000A21A5"/>
    <w:rsid w:val="000A3908"/>
    <w:rsid w:val="000A4C29"/>
    <w:rsid w:val="000A5B36"/>
    <w:rsid w:val="000A6E2B"/>
    <w:rsid w:val="000A79D3"/>
    <w:rsid w:val="000B05E2"/>
    <w:rsid w:val="000B2568"/>
    <w:rsid w:val="000B41BB"/>
    <w:rsid w:val="000B5357"/>
    <w:rsid w:val="000B597F"/>
    <w:rsid w:val="000B634D"/>
    <w:rsid w:val="000B73D2"/>
    <w:rsid w:val="000B7465"/>
    <w:rsid w:val="000C14CB"/>
    <w:rsid w:val="000C18BC"/>
    <w:rsid w:val="000C1D03"/>
    <w:rsid w:val="000C1EE4"/>
    <w:rsid w:val="000C1FF9"/>
    <w:rsid w:val="000C4151"/>
    <w:rsid w:val="000C4425"/>
    <w:rsid w:val="000C4B12"/>
    <w:rsid w:val="000C5FA7"/>
    <w:rsid w:val="000C7E71"/>
    <w:rsid w:val="000D0BCE"/>
    <w:rsid w:val="000D16AA"/>
    <w:rsid w:val="000D1A7D"/>
    <w:rsid w:val="000D2309"/>
    <w:rsid w:val="000D2CCA"/>
    <w:rsid w:val="000D366B"/>
    <w:rsid w:val="000D37B4"/>
    <w:rsid w:val="000D38F9"/>
    <w:rsid w:val="000D5D6B"/>
    <w:rsid w:val="000D7A20"/>
    <w:rsid w:val="000E161C"/>
    <w:rsid w:val="000E2C39"/>
    <w:rsid w:val="000E355C"/>
    <w:rsid w:val="000E4445"/>
    <w:rsid w:val="000E470B"/>
    <w:rsid w:val="000E4DE8"/>
    <w:rsid w:val="000E4EF8"/>
    <w:rsid w:val="000E50F5"/>
    <w:rsid w:val="000E5E99"/>
    <w:rsid w:val="000E655B"/>
    <w:rsid w:val="000E6A66"/>
    <w:rsid w:val="000F0C3B"/>
    <w:rsid w:val="000F0E9F"/>
    <w:rsid w:val="000F1540"/>
    <w:rsid w:val="000F1D4A"/>
    <w:rsid w:val="000F2065"/>
    <w:rsid w:val="000F2A88"/>
    <w:rsid w:val="000F2C23"/>
    <w:rsid w:val="000F2D1B"/>
    <w:rsid w:val="000F3658"/>
    <w:rsid w:val="000F3B37"/>
    <w:rsid w:val="000F3C85"/>
    <w:rsid w:val="000F3F12"/>
    <w:rsid w:val="000F565B"/>
    <w:rsid w:val="000F5C6C"/>
    <w:rsid w:val="000F5F3F"/>
    <w:rsid w:val="000F64AD"/>
    <w:rsid w:val="00100570"/>
    <w:rsid w:val="00101CE5"/>
    <w:rsid w:val="00101DD0"/>
    <w:rsid w:val="00102555"/>
    <w:rsid w:val="0010291B"/>
    <w:rsid w:val="00102B4B"/>
    <w:rsid w:val="00103AB9"/>
    <w:rsid w:val="00103E80"/>
    <w:rsid w:val="00107187"/>
    <w:rsid w:val="00107272"/>
    <w:rsid w:val="00107D54"/>
    <w:rsid w:val="00110383"/>
    <w:rsid w:val="00110B62"/>
    <w:rsid w:val="00111581"/>
    <w:rsid w:val="00111CEB"/>
    <w:rsid w:val="0011245C"/>
    <w:rsid w:val="0011500F"/>
    <w:rsid w:val="00115A55"/>
    <w:rsid w:val="0011665D"/>
    <w:rsid w:val="00116AAC"/>
    <w:rsid w:val="00117D55"/>
    <w:rsid w:val="001204B2"/>
    <w:rsid w:val="001212EF"/>
    <w:rsid w:val="001217DC"/>
    <w:rsid w:val="00121F81"/>
    <w:rsid w:val="0012203F"/>
    <w:rsid w:val="00123CC6"/>
    <w:rsid w:val="00125689"/>
    <w:rsid w:val="00125C8A"/>
    <w:rsid w:val="001261FC"/>
    <w:rsid w:val="001306FE"/>
    <w:rsid w:val="00130827"/>
    <w:rsid w:val="001308A2"/>
    <w:rsid w:val="00131140"/>
    <w:rsid w:val="001317AD"/>
    <w:rsid w:val="00131FC3"/>
    <w:rsid w:val="0013281E"/>
    <w:rsid w:val="00132FD3"/>
    <w:rsid w:val="001339CF"/>
    <w:rsid w:val="0013673A"/>
    <w:rsid w:val="00136D81"/>
    <w:rsid w:val="001410EB"/>
    <w:rsid w:val="00141224"/>
    <w:rsid w:val="00143103"/>
    <w:rsid w:val="00143554"/>
    <w:rsid w:val="00143653"/>
    <w:rsid w:val="00143934"/>
    <w:rsid w:val="00143B3A"/>
    <w:rsid w:val="00143E43"/>
    <w:rsid w:val="00143FFC"/>
    <w:rsid w:val="00145760"/>
    <w:rsid w:val="00146ABB"/>
    <w:rsid w:val="00147338"/>
    <w:rsid w:val="00147A48"/>
    <w:rsid w:val="00150143"/>
    <w:rsid w:val="001509AB"/>
    <w:rsid w:val="00152E91"/>
    <w:rsid w:val="0015460B"/>
    <w:rsid w:val="00154736"/>
    <w:rsid w:val="00156CA9"/>
    <w:rsid w:val="00157465"/>
    <w:rsid w:val="00157E23"/>
    <w:rsid w:val="00157FC3"/>
    <w:rsid w:val="00160ACE"/>
    <w:rsid w:val="00161C4F"/>
    <w:rsid w:val="00161C84"/>
    <w:rsid w:val="00161F2A"/>
    <w:rsid w:val="00161FDF"/>
    <w:rsid w:val="001626BD"/>
    <w:rsid w:val="00162C33"/>
    <w:rsid w:val="0016340E"/>
    <w:rsid w:val="00164E23"/>
    <w:rsid w:val="0016595F"/>
    <w:rsid w:val="00166A2C"/>
    <w:rsid w:val="00166BF2"/>
    <w:rsid w:val="00166CC3"/>
    <w:rsid w:val="00170A9E"/>
    <w:rsid w:val="00170ED1"/>
    <w:rsid w:val="0017121A"/>
    <w:rsid w:val="00171401"/>
    <w:rsid w:val="0017141F"/>
    <w:rsid w:val="00171777"/>
    <w:rsid w:val="001719FB"/>
    <w:rsid w:val="00172B65"/>
    <w:rsid w:val="00172EF5"/>
    <w:rsid w:val="001732E1"/>
    <w:rsid w:val="0017486B"/>
    <w:rsid w:val="0017613E"/>
    <w:rsid w:val="00177167"/>
    <w:rsid w:val="00177753"/>
    <w:rsid w:val="00181A71"/>
    <w:rsid w:val="00182329"/>
    <w:rsid w:val="0018261B"/>
    <w:rsid w:val="001834A7"/>
    <w:rsid w:val="0018373B"/>
    <w:rsid w:val="00183C79"/>
    <w:rsid w:val="00183C8B"/>
    <w:rsid w:val="00183E75"/>
    <w:rsid w:val="001845CF"/>
    <w:rsid w:val="001865BB"/>
    <w:rsid w:val="00186EAE"/>
    <w:rsid w:val="00186F7A"/>
    <w:rsid w:val="00187518"/>
    <w:rsid w:val="00187743"/>
    <w:rsid w:val="00187F07"/>
    <w:rsid w:val="0019096C"/>
    <w:rsid w:val="00191EA7"/>
    <w:rsid w:val="00192164"/>
    <w:rsid w:val="00192883"/>
    <w:rsid w:val="00194C98"/>
    <w:rsid w:val="00194FB7"/>
    <w:rsid w:val="00195D28"/>
    <w:rsid w:val="00196B4E"/>
    <w:rsid w:val="001975A1"/>
    <w:rsid w:val="001A027A"/>
    <w:rsid w:val="001A08E4"/>
    <w:rsid w:val="001A0D2C"/>
    <w:rsid w:val="001A12B5"/>
    <w:rsid w:val="001A1C72"/>
    <w:rsid w:val="001A3980"/>
    <w:rsid w:val="001A422B"/>
    <w:rsid w:val="001A440A"/>
    <w:rsid w:val="001A4A55"/>
    <w:rsid w:val="001A5C6F"/>
    <w:rsid w:val="001A6A4F"/>
    <w:rsid w:val="001A76B7"/>
    <w:rsid w:val="001B015C"/>
    <w:rsid w:val="001B1339"/>
    <w:rsid w:val="001B1B58"/>
    <w:rsid w:val="001B1F55"/>
    <w:rsid w:val="001B2049"/>
    <w:rsid w:val="001B2934"/>
    <w:rsid w:val="001B4A37"/>
    <w:rsid w:val="001B5963"/>
    <w:rsid w:val="001B6FAD"/>
    <w:rsid w:val="001C04B2"/>
    <w:rsid w:val="001C14C1"/>
    <w:rsid w:val="001C1FDE"/>
    <w:rsid w:val="001C2063"/>
    <w:rsid w:val="001C21E1"/>
    <w:rsid w:val="001C3426"/>
    <w:rsid w:val="001C4675"/>
    <w:rsid w:val="001C4768"/>
    <w:rsid w:val="001C5839"/>
    <w:rsid w:val="001C6AF6"/>
    <w:rsid w:val="001C7129"/>
    <w:rsid w:val="001C77E1"/>
    <w:rsid w:val="001C7ADA"/>
    <w:rsid w:val="001C7B48"/>
    <w:rsid w:val="001C7EA0"/>
    <w:rsid w:val="001D121D"/>
    <w:rsid w:val="001D3543"/>
    <w:rsid w:val="001D4151"/>
    <w:rsid w:val="001D58E5"/>
    <w:rsid w:val="001D7299"/>
    <w:rsid w:val="001E0FAB"/>
    <w:rsid w:val="001E2084"/>
    <w:rsid w:val="001E2502"/>
    <w:rsid w:val="001E292F"/>
    <w:rsid w:val="001E351C"/>
    <w:rsid w:val="001E474D"/>
    <w:rsid w:val="001E5194"/>
    <w:rsid w:val="001E5851"/>
    <w:rsid w:val="001E5A81"/>
    <w:rsid w:val="001E62FB"/>
    <w:rsid w:val="001E6A0B"/>
    <w:rsid w:val="001E77DA"/>
    <w:rsid w:val="001E7A2F"/>
    <w:rsid w:val="001E7AB0"/>
    <w:rsid w:val="001E7DD0"/>
    <w:rsid w:val="001F0349"/>
    <w:rsid w:val="001F077B"/>
    <w:rsid w:val="001F0B74"/>
    <w:rsid w:val="001F2648"/>
    <w:rsid w:val="001F3E37"/>
    <w:rsid w:val="001F41B9"/>
    <w:rsid w:val="001F4BE8"/>
    <w:rsid w:val="001F4EB8"/>
    <w:rsid w:val="001F560A"/>
    <w:rsid w:val="001F6270"/>
    <w:rsid w:val="001F6318"/>
    <w:rsid w:val="001F65B1"/>
    <w:rsid w:val="001F6B83"/>
    <w:rsid w:val="001F6F6A"/>
    <w:rsid w:val="001F7595"/>
    <w:rsid w:val="002000B8"/>
    <w:rsid w:val="002005CD"/>
    <w:rsid w:val="00200B4C"/>
    <w:rsid w:val="00202F46"/>
    <w:rsid w:val="00203267"/>
    <w:rsid w:val="00203897"/>
    <w:rsid w:val="0020391D"/>
    <w:rsid w:val="00205F9C"/>
    <w:rsid w:val="002060F7"/>
    <w:rsid w:val="00207BC6"/>
    <w:rsid w:val="00210771"/>
    <w:rsid w:val="00210EE2"/>
    <w:rsid w:val="00211885"/>
    <w:rsid w:val="00212864"/>
    <w:rsid w:val="00212ADF"/>
    <w:rsid w:val="002134CF"/>
    <w:rsid w:val="00213A60"/>
    <w:rsid w:val="0021429B"/>
    <w:rsid w:val="00215699"/>
    <w:rsid w:val="002159DE"/>
    <w:rsid w:val="00215E99"/>
    <w:rsid w:val="0021667D"/>
    <w:rsid w:val="002166A1"/>
    <w:rsid w:val="002166A6"/>
    <w:rsid w:val="00216BB6"/>
    <w:rsid w:val="0022039D"/>
    <w:rsid w:val="0022048B"/>
    <w:rsid w:val="0022175C"/>
    <w:rsid w:val="00222261"/>
    <w:rsid w:val="002227DF"/>
    <w:rsid w:val="00223AC8"/>
    <w:rsid w:val="00223C96"/>
    <w:rsid w:val="00224852"/>
    <w:rsid w:val="0022634D"/>
    <w:rsid w:val="00227512"/>
    <w:rsid w:val="0022766E"/>
    <w:rsid w:val="0022777A"/>
    <w:rsid w:val="002278D5"/>
    <w:rsid w:val="00227C13"/>
    <w:rsid w:val="00227D49"/>
    <w:rsid w:val="00227FC7"/>
    <w:rsid w:val="0023110A"/>
    <w:rsid w:val="00233A54"/>
    <w:rsid w:val="00234440"/>
    <w:rsid w:val="002347C9"/>
    <w:rsid w:val="00236E72"/>
    <w:rsid w:val="0023738E"/>
    <w:rsid w:val="002411BD"/>
    <w:rsid w:val="00242ED3"/>
    <w:rsid w:val="00244711"/>
    <w:rsid w:val="00244AE4"/>
    <w:rsid w:val="00245EBE"/>
    <w:rsid w:val="002472C1"/>
    <w:rsid w:val="002473F4"/>
    <w:rsid w:val="00247D64"/>
    <w:rsid w:val="00250F42"/>
    <w:rsid w:val="00252EBA"/>
    <w:rsid w:val="0025361A"/>
    <w:rsid w:val="002545EF"/>
    <w:rsid w:val="00254B44"/>
    <w:rsid w:val="00254E99"/>
    <w:rsid w:val="00255B9B"/>
    <w:rsid w:val="00256596"/>
    <w:rsid w:val="0026027A"/>
    <w:rsid w:val="00260533"/>
    <w:rsid w:val="002605CE"/>
    <w:rsid w:val="00261367"/>
    <w:rsid w:val="00261A54"/>
    <w:rsid w:val="00261C21"/>
    <w:rsid w:val="00261D37"/>
    <w:rsid w:val="00262D6B"/>
    <w:rsid w:val="00262ED0"/>
    <w:rsid w:val="00263607"/>
    <w:rsid w:val="002638EE"/>
    <w:rsid w:val="00264965"/>
    <w:rsid w:val="002656E1"/>
    <w:rsid w:val="00265CFF"/>
    <w:rsid w:val="002702CD"/>
    <w:rsid w:val="00270B4E"/>
    <w:rsid w:val="00271500"/>
    <w:rsid w:val="00272E57"/>
    <w:rsid w:val="00274663"/>
    <w:rsid w:val="00275641"/>
    <w:rsid w:val="0027569A"/>
    <w:rsid w:val="002767D9"/>
    <w:rsid w:val="00280382"/>
    <w:rsid w:val="00280F4B"/>
    <w:rsid w:val="002816D0"/>
    <w:rsid w:val="002821E9"/>
    <w:rsid w:val="002827D2"/>
    <w:rsid w:val="002835B7"/>
    <w:rsid w:val="00284C1F"/>
    <w:rsid w:val="002851AF"/>
    <w:rsid w:val="00285866"/>
    <w:rsid w:val="00286129"/>
    <w:rsid w:val="0028787B"/>
    <w:rsid w:val="00290263"/>
    <w:rsid w:val="002908A7"/>
    <w:rsid w:val="00291768"/>
    <w:rsid w:val="00291796"/>
    <w:rsid w:val="00292F66"/>
    <w:rsid w:val="0029315D"/>
    <w:rsid w:val="00293A33"/>
    <w:rsid w:val="0029449E"/>
    <w:rsid w:val="0029488D"/>
    <w:rsid w:val="0029530C"/>
    <w:rsid w:val="00296020"/>
    <w:rsid w:val="00296695"/>
    <w:rsid w:val="0029693F"/>
    <w:rsid w:val="002969C6"/>
    <w:rsid w:val="00296BE2"/>
    <w:rsid w:val="00296F46"/>
    <w:rsid w:val="00296F8A"/>
    <w:rsid w:val="002A11CE"/>
    <w:rsid w:val="002A13E2"/>
    <w:rsid w:val="002A180F"/>
    <w:rsid w:val="002A1B36"/>
    <w:rsid w:val="002A37E6"/>
    <w:rsid w:val="002A4DFC"/>
    <w:rsid w:val="002B18D6"/>
    <w:rsid w:val="002B22D4"/>
    <w:rsid w:val="002B3984"/>
    <w:rsid w:val="002B4BF3"/>
    <w:rsid w:val="002B55C8"/>
    <w:rsid w:val="002B5E4B"/>
    <w:rsid w:val="002B64E9"/>
    <w:rsid w:val="002B660D"/>
    <w:rsid w:val="002B7969"/>
    <w:rsid w:val="002C0031"/>
    <w:rsid w:val="002C0485"/>
    <w:rsid w:val="002C0762"/>
    <w:rsid w:val="002C257A"/>
    <w:rsid w:val="002C2BEC"/>
    <w:rsid w:val="002C30C0"/>
    <w:rsid w:val="002C4F4B"/>
    <w:rsid w:val="002C5233"/>
    <w:rsid w:val="002C6EC0"/>
    <w:rsid w:val="002C7258"/>
    <w:rsid w:val="002D0189"/>
    <w:rsid w:val="002D0356"/>
    <w:rsid w:val="002D07C0"/>
    <w:rsid w:val="002D0F98"/>
    <w:rsid w:val="002D1DFB"/>
    <w:rsid w:val="002D45BF"/>
    <w:rsid w:val="002D4A85"/>
    <w:rsid w:val="002D6162"/>
    <w:rsid w:val="002D64DF"/>
    <w:rsid w:val="002D750A"/>
    <w:rsid w:val="002E242E"/>
    <w:rsid w:val="002E2FEC"/>
    <w:rsid w:val="002E38DB"/>
    <w:rsid w:val="002E3BEB"/>
    <w:rsid w:val="002E441D"/>
    <w:rsid w:val="002E4AB1"/>
    <w:rsid w:val="002E4F11"/>
    <w:rsid w:val="002E4F8A"/>
    <w:rsid w:val="002E505D"/>
    <w:rsid w:val="002E6F69"/>
    <w:rsid w:val="002E7296"/>
    <w:rsid w:val="002E73B8"/>
    <w:rsid w:val="002F0545"/>
    <w:rsid w:val="002F0823"/>
    <w:rsid w:val="002F2471"/>
    <w:rsid w:val="002F2B7A"/>
    <w:rsid w:val="002F3105"/>
    <w:rsid w:val="002F59F2"/>
    <w:rsid w:val="002F5E6C"/>
    <w:rsid w:val="002F72FF"/>
    <w:rsid w:val="00300BF3"/>
    <w:rsid w:val="0030143F"/>
    <w:rsid w:val="00301A2B"/>
    <w:rsid w:val="00301BCD"/>
    <w:rsid w:val="00302988"/>
    <w:rsid w:val="00303ACF"/>
    <w:rsid w:val="0030463E"/>
    <w:rsid w:val="00304ED6"/>
    <w:rsid w:val="00306654"/>
    <w:rsid w:val="00306D5D"/>
    <w:rsid w:val="00306FF4"/>
    <w:rsid w:val="00310EE1"/>
    <w:rsid w:val="003122B0"/>
    <w:rsid w:val="00312390"/>
    <w:rsid w:val="003123F4"/>
    <w:rsid w:val="00313487"/>
    <w:rsid w:val="003138EB"/>
    <w:rsid w:val="00315880"/>
    <w:rsid w:val="00315A06"/>
    <w:rsid w:val="0031678B"/>
    <w:rsid w:val="0031683C"/>
    <w:rsid w:val="00317146"/>
    <w:rsid w:val="003176EA"/>
    <w:rsid w:val="00317D36"/>
    <w:rsid w:val="00321473"/>
    <w:rsid w:val="003225FB"/>
    <w:rsid w:val="00323A7C"/>
    <w:rsid w:val="00323BE9"/>
    <w:rsid w:val="00323C32"/>
    <w:rsid w:val="00323CC7"/>
    <w:rsid w:val="003247BA"/>
    <w:rsid w:val="00324A1D"/>
    <w:rsid w:val="00324C55"/>
    <w:rsid w:val="003250B4"/>
    <w:rsid w:val="00325742"/>
    <w:rsid w:val="00327224"/>
    <w:rsid w:val="00327AB3"/>
    <w:rsid w:val="00327F9E"/>
    <w:rsid w:val="00330527"/>
    <w:rsid w:val="00330C9F"/>
    <w:rsid w:val="003318A6"/>
    <w:rsid w:val="003321A8"/>
    <w:rsid w:val="00332EB1"/>
    <w:rsid w:val="00333E63"/>
    <w:rsid w:val="00334044"/>
    <w:rsid w:val="00334CB0"/>
    <w:rsid w:val="00335188"/>
    <w:rsid w:val="00335234"/>
    <w:rsid w:val="003373B8"/>
    <w:rsid w:val="003413F4"/>
    <w:rsid w:val="00342DC1"/>
    <w:rsid w:val="00342EF7"/>
    <w:rsid w:val="003432B6"/>
    <w:rsid w:val="003434E9"/>
    <w:rsid w:val="00343F41"/>
    <w:rsid w:val="00344BF3"/>
    <w:rsid w:val="00345CC1"/>
    <w:rsid w:val="00345EA7"/>
    <w:rsid w:val="0034652C"/>
    <w:rsid w:val="00346606"/>
    <w:rsid w:val="00346E73"/>
    <w:rsid w:val="00346F27"/>
    <w:rsid w:val="0035067B"/>
    <w:rsid w:val="00350681"/>
    <w:rsid w:val="00350B6E"/>
    <w:rsid w:val="00351A4A"/>
    <w:rsid w:val="00351D95"/>
    <w:rsid w:val="00351FB4"/>
    <w:rsid w:val="00353860"/>
    <w:rsid w:val="00354CD9"/>
    <w:rsid w:val="003556C1"/>
    <w:rsid w:val="00355EEE"/>
    <w:rsid w:val="00356FC1"/>
    <w:rsid w:val="00357883"/>
    <w:rsid w:val="00360494"/>
    <w:rsid w:val="00360C00"/>
    <w:rsid w:val="00361243"/>
    <w:rsid w:val="00361633"/>
    <w:rsid w:val="00361935"/>
    <w:rsid w:val="003626AE"/>
    <w:rsid w:val="0036292A"/>
    <w:rsid w:val="00362AF3"/>
    <w:rsid w:val="0036467D"/>
    <w:rsid w:val="00364BEE"/>
    <w:rsid w:val="0036508D"/>
    <w:rsid w:val="003651C8"/>
    <w:rsid w:val="00366321"/>
    <w:rsid w:val="00366419"/>
    <w:rsid w:val="003669F1"/>
    <w:rsid w:val="00366F10"/>
    <w:rsid w:val="003700A3"/>
    <w:rsid w:val="00370B40"/>
    <w:rsid w:val="00371A92"/>
    <w:rsid w:val="00371C15"/>
    <w:rsid w:val="00372CDF"/>
    <w:rsid w:val="00373411"/>
    <w:rsid w:val="00373D40"/>
    <w:rsid w:val="003741F6"/>
    <w:rsid w:val="00374A29"/>
    <w:rsid w:val="00374FA4"/>
    <w:rsid w:val="003756C6"/>
    <w:rsid w:val="00376E35"/>
    <w:rsid w:val="003773AC"/>
    <w:rsid w:val="00377F6C"/>
    <w:rsid w:val="00380094"/>
    <w:rsid w:val="00380256"/>
    <w:rsid w:val="0038165D"/>
    <w:rsid w:val="00383071"/>
    <w:rsid w:val="00385175"/>
    <w:rsid w:val="00385444"/>
    <w:rsid w:val="00385F39"/>
    <w:rsid w:val="00386070"/>
    <w:rsid w:val="00387DCF"/>
    <w:rsid w:val="00390006"/>
    <w:rsid w:val="003900A5"/>
    <w:rsid w:val="0039012D"/>
    <w:rsid w:val="003917AD"/>
    <w:rsid w:val="003917D1"/>
    <w:rsid w:val="00391FAB"/>
    <w:rsid w:val="00392539"/>
    <w:rsid w:val="00392677"/>
    <w:rsid w:val="00393431"/>
    <w:rsid w:val="00393633"/>
    <w:rsid w:val="003945E2"/>
    <w:rsid w:val="00394981"/>
    <w:rsid w:val="00395100"/>
    <w:rsid w:val="003953A8"/>
    <w:rsid w:val="003958E6"/>
    <w:rsid w:val="00395D76"/>
    <w:rsid w:val="00396F7B"/>
    <w:rsid w:val="00396FA3"/>
    <w:rsid w:val="0039788E"/>
    <w:rsid w:val="00397F0D"/>
    <w:rsid w:val="003A011D"/>
    <w:rsid w:val="003A0DC3"/>
    <w:rsid w:val="003A1675"/>
    <w:rsid w:val="003A1CA9"/>
    <w:rsid w:val="003A1CF5"/>
    <w:rsid w:val="003A2812"/>
    <w:rsid w:val="003A2D0C"/>
    <w:rsid w:val="003A3304"/>
    <w:rsid w:val="003A3551"/>
    <w:rsid w:val="003A38F0"/>
    <w:rsid w:val="003A443D"/>
    <w:rsid w:val="003A4DE4"/>
    <w:rsid w:val="003A6A5A"/>
    <w:rsid w:val="003A72E9"/>
    <w:rsid w:val="003B175A"/>
    <w:rsid w:val="003B3231"/>
    <w:rsid w:val="003B357A"/>
    <w:rsid w:val="003B499C"/>
    <w:rsid w:val="003B4CCD"/>
    <w:rsid w:val="003B53D4"/>
    <w:rsid w:val="003B56D7"/>
    <w:rsid w:val="003B7298"/>
    <w:rsid w:val="003C0FF8"/>
    <w:rsid w:val="003C1D0C"/>
    <w:rsid w:val="003C1F2E"/>
    <w:rsid w:val="003C42A3"/>
    <w:rsid w:val="003C49D5"/>
    <w:rsid w:val="003C4FD5"/>
    <w:rsid w:val="003C582B"/>
    <w:rsid w:val="003C6BFF"/>
    <w:rsid w:val="003D2333"/>
    <w:rsid w:val="003D2E1B"/>
    <w:rsid w:val="003D3241"/>
    <w:rsid w:val="003D39AE"/>
    <w:rsid w:val="003D4804"/>
    <w:rsid w:val="003D5413"/>
    <w:rsid w:val="003D7685"/>
    <w:rsid w:val="003D7E9A"/>
    <w:rsid w:val="003E0366"/>
    <w:rsid w:val="003E100C"/>
    <w:rsid w:val="003E1C0C"/>
    <w:rsid w:val="003E2FFE"/>
    <w:rsid w:val="003E37AA"/>
    <w:rsid w:val="003E4310"/>
    <w:rsid w:val="003E47DE"/>
    <w:rsid w:val="003E4FFA"/>
    <w:rsid w:val="003E6E11"/>
    <w:rsid w:val="003F0536"/>
    <w:rsid w:val="003F10D3"/>
    <w:rsid w:val="003F1548"/>
    <w:rsid w:val="003F2B3D"/>
    <w:rsid w:val="003F2FBA"/>
    <w:rsid w:val="003F3105"/>
    <w:rsid w:val="003F3C44"/>
    <w:rsid w:val="003F4172"/>
    <w:rsid w:val="003F4249"/>
    <w:rsid w:val="003F4768"/>
    <w:rsid w:val="003F4E3B"/>
    <w:rsid w:val="003F5086"/>
    <w:rsid w:val="003F5108"/>
    <w:rsid w:val="003F5C9D"/>
    <w:rsid w:val="003F5D2C"/>
    <w:rsid w:val="003F7679"/>
    <w:rsid w:val="00400C13"/>
    <w:rsid w:val="00401F48"/>
    <w:rsid w:val="00402311"/>
    <w:rsid w:val="0040239F"/>
    <w:rsid w:val="00402C97"/>
    <w:rsid w:val="00403364"/>
    <w:rsid w:val="0040415C"/>
    <w:rsid w:val="00404AA4"/>
    <w:rsid w:val="00404AF1"/>
    <w:rsid w:val="00404C61"/>
    <w:rsid w:val="004050C9"/>
    <w:rsid w:val="004051F0"/>
    <w:rsid w:val="00405C04"/>
    <w:rsid w:val="00406314"/>
    <w:rsid w:val="00406376"/>
    <w:rsid w:val="00406896"/>
    <w:rsid w:val="00411B37"/>
    <w:rsid w:val="0041244F"/>
    <w:rsid w:val="004125ED"/>
    <w:rsid w:val="0041353D"/>
    <w:rsid w:val="00413B39"/>
    <w:rsid w:val="0041450E"/>
    <w:rsid w:val="0041456E"/>
    <w:rsid w:val="00415370"/>
    <w:rsid w:val="00415781"/>
    <w:rsid w:val="00416485"/>
    <w:rsid w:val="00416F40"/>
    <w:rsid w:val="00417769"/>
    <w:rsid w:val="00417F0D"/>
    <w:rsid w:val="00420765"/>
    <w:rsid w:val="00421EF2"/>
    <w:rsid w:val="00422668"/>
    <w:rsid w:val="0042482B"/>
    <w:rsid w:val="00424946"/>
    <w:rsid w:val="0042602D"/>
    <w:rsid w:val="004261DA"/>
    <w:rsid w:val="00427004"/>
    <w:rsid w:val="00431540"/>
    <w:rsid w:val="00431AC1"/>
    <w:rsid w:val="00431DE1"/>
    <w:rsid w:val="004329C9"/>
    <w:rsid w:val="00432CD5"/>
    <w:rsid w:val="00432EF0"/>
    <w:rsid w:val="00433CDB"/>
    <w:rsid w:val="00435D29"/>
    <w:rsid w:val="004363FA"/>
    <w:rsid w:val="004364CC"/>
    <w:rsid w:val="00437141"/>
    <w:rsid w:val="004405B0"/>
    <w:rsid w:val="00440853"/>
    <w:rsid w:val="00441905"/>
    <w:rsid w:val="00441FF9"/>
    <w:rsid w:val="0044382F"/>
    <w:rsid w:val="00443B96"/>
    <w:rsid w:val="00443E1D"/>
    <w:rsid w:val="004442EB"/>
    <w:rsid w:val="00444FA3"/>
    <w:rsid w:val="004459DC"/>
    <w:rsid w:val="00446553"/>
    <w:rsid w:val="00446A92"/>
    <w:rsid w:val="004501B4"/>
    <w:rsid w:val="0045082F"/>
    <w:rsid w:val="00450C00"/>
    <w:rsid w:val="0045135E"/>
    <w:rsid w:val="00452434"/>
    <w:rsid w:val="00452C53"/>
    <w:rsid w:val="004539C7"/>
    <w:rsid w:val="00454597"/>
    <w:rsid w:val="004548E6"/>
    <w:rsid w:val="0045543A"/>
    <w:rsid w:val="0045543C"/>
    <w:rsid w:val="004556FB"/>
    <w:rsid w:val="00455880"/>
    <w:rsid w:val="004561F9"/>
    <w:rsid w:val="0045637C"/>
    <w:rsid w:val="004563C4"/>
    <w:rsid w:val="004569A3"/>
    <w:rsid w:val="004578ED"/>
    <w:rsid w:val="00457EFC"/>
    <w:rsid w:val="0046064C"/>
    <w:rsid w:val="004611B6"/>
    <w:rsid w:val="00461997"/>
    <w:rsid w:val="00463F8B"/>
    <w:rsid w:val="004644C2"/>
    <w:rsid w:val="004649AD"/>
    <w:rsid w:val="004650E7"/>
    <w:rsid w:val="0046687B"/>
    <w:rsid w:val="00466CB4"/>
    <w:rsid w:val="00470418"/>
    <w:rsid w:val="004704EA"/>
    <w:rsid w:val="0047071D"/>
    <w:rsid w:val="004720F6"/>
    <w:rsid w:val="004727C4"/>
    <w:rsid w:val="00472F62"/>
    <w:rsid w:val="00473579"/>
    <w:rsid w:val="00473E50"/>
    <w:rsid w:val="00474E5A"/>
    <w:rsid w:val="0047558F"/>
    <w:rsid w:val="00475FD5"/>
    <w:rsid w:val="00476FED"/>
    <w:rsid w:val="0047725A"/>
    <w:rsid w:val="004812F4"/>
    <w:rsid w:val="0048231B"/>
    <w:rsid w:val="004838D4"/>
    <w:rsid w:val="004845AC"/>
    <w:rsid w:val="00484C31"/>
    <w:rsid w:val="00485E3C"/>
    <w:rsid w:val="00486F09"/>
    <w:rsid w:val="004877FB"/>
    <w:rsid w:val="004906DB"/>
    <w:rsid w:val="00490C0F"/>
    <w:rsid w:val="00491FF2"/>
    <w:rsid w:val="004925EE"/>
    <w:rsid w:val="00492735"/>
    <w:rsid w:val="00493926"/>
    <w:rsid w:val="004945E8"/>
    <w:rsid w:val="00494FC9"/>
    <w:rsid w:val="00495228"/>
    <w:rsid w:val="004963B6"/>
    <w:rsid w:val="004A1AB1"/>
    <w:rsid w:val="004A2013"/>
    <w:rsid w:val="004A201B"/>
    <w:rsid w:val="004A2B7A"/>
    <w:rsid w:val="004A3EB3"/>
    <w:rsid w:val="004A4377"/>
    <w:rsid w:val="004A57EB"/>
    <w:rsid w:val="004A5824"/>
    <w:rsid w:val="004A59D3"/>
    <w:rsid w:val="004A6156"/>
    <w:rsid w:val="004A6D7C"/>
    <w:rsid w:val="004A6F11"/>
    <w:rsid w:val="004A74DD"/>
    <w:rsid w:val="004B00D1"/>
    <w:rsid w:val="004B0AC8"/>
    <w:rsid w:val="004B0B57"/>
    <w:rsid w:val="004B0BBE"/>
    <w:rsid w:val="004B0EB0"/>
    <w:rsid w:val="004B1246"/>
    <w:rsid w:val="004B1CAB"/>
    <w:rsid w:val="004B2FF9"/>
    <w:rsid w:val="004B3506"/>
    <w:rsid w:val="004B36ED"/>
    <w:rsid w:val="004B40DB"/>
    <w:rsid w:val="004B4EF6"/>
    <w:rsid w:val="004B612E"/>
    <w:rsid w:val="004B623B"/>
    <w:rsid w:val="004B6554"/>
    <w:rsid w:val="004B6B22"/>
    <w:rsid w:val="004B6C50"/>
    <w:rsid w:val="004C0DA0"/>
    <w:rsid w:val="004C3E02"/>
    <w:rsid w:val="004C422D"/>
    <w:rsid w:val="004C440E"/>
    <w:rsid w:val="004C4CEB"/>
    <w:rsid w:val="004C5CBA"/>
    <w:rsid w:val="004C64D8"/>
    <w:rsid w:val="004C64F7"/>
    <w:rsid w:val="004C6C09"/>
    <w:rsid w:val="004C6EA3"/>
    <w:rsid w:val="004C7BCD"/>
    <w:rsid w:val="004D000F"/>
    <w:rsid w:val="004D055D"/>
    <w:rsid w:val="004D1240"/>
    <w:rsid w:val="004D12F6"/>
    <w:rsid w:val="004D1946"/>
    <w:rsid w:val="004D32ED"/>
    <w:rsid w:val="004D3E71"/>
    <w:rsid w:val="004D49EE"/>
    <w:rsid w:val="004D4AE0"/>
    <w:rsid w:val="004D4C0B"/>
    <w:rsid w:val="004D69FC"/>
    <w:rsid w:val="004D72BA"/>
    <w:rsid w:val="004D77BD"/>
    <w:rsid w:val="004D77DE"/>
    <w:rsid w:val="004D7BF4"/>
    <w:rsid w:val="004D7C92"/>
    <w:rsid w:val="004E295C"/>
    <w:rsid w:val="004E38B2"/>
    <w:rsid w:val="004E3936"/>
    <w:rsid w:val="004E490B"/>
    <w:rsid w:val="004E57F7"/>
    <w:rsid w:val="004E5D9C"/>
    <w:rsid w:val="004E6191"/>
    <w:rsid w:val="004E6707"/>
    <w:rsid w:val="004E6B8E"/>
    <w:rsid w:val="004F0543"/>
    <w:rsid w:val="004F0D33"/>
    <w:rsid w:val="004F2385"/>
    <w:rsid w:val="004F246C"/>
    <w:rsid w:val="004F3A97"/>
    <w:rsid w:val="004F5591"/>
    <w:rsid w:val="004F5D14"/>
    <w:rsid w:val="004F68DC"/>
    <w:rsid w:val="004F7F44"/>
    <w:rsid w:val="00500598"/>
    <w:rsid w:val="00500F7A"/>
    <w:rsid w:val="005012AD"/>
    <w:rsid w:val="005016E5"/>
    <w:rsid w:val="00501A56"/>
    <w:rsid w:val="00502317"/>
    <w:rsid w:val="005027BB"/>
    <w:rsid w:val="00503415"/>
    <w:rsid w:val="005034C1"/>
    <w:rsid w:val="005037E1"/>
    <w:rsid w:val="00503B5C"/>
    <w:rsid w:val="0050456A"/>
    <w:rsid w:val="00505C46"/>
    <w:rsid w:val="005068E1"/>
    <w:rsid w:val="005070B6"/>
    <w:rsid w:val="005077C5"/>
    <w:rsid w:val="00510111"/>
    <w:rsid w:val="00510B80"/>
    <w:rsid w:val="0051168A"/>
    <w:rsid w:val="005117D2"/>
    <w:rsid w:val="005118A6"/>
    <w:rsid w:val="005122F4"/>
    <w:rsid w:val="0051405F"/>
    <w:rsid w:val="0051444F"/>
    <w:rsid w:val="005156A6"/>
    <w:rsid w:val="00515C5E"/>
    <w:rsid w:val="00516393"/>
    <w:rsid w:val="00516669"/>
    <w:rsid w:val="005179A5"/>
    <w:rsid w:val="00520B4F"/>
    <w:rsid w:val="00524AD7"/>
    <w:rsid w:val="005254FD"/>
    <w:rsid w:val="005268A9"/>
    <w:rsid w:val="0052720F"/>
    <w:rsid w:val="00527421"/>
    <w:rsid w:val="005275C4"/>
    <w:rsid w:val="00527D36"/>
    <w:rsid w:val="00531076"/>
    <w:rsid w:val="00531D28"/>
    <w:rsid w:val="005328A8"/>
    <w:rsid w:val="005338EE"/>
    <w:rsid w:val="00533920"/>
    <w:rsid w:val="00535141"/>
    <w:rsid w:val="00535324"/>
    <w:rsid w:val="00535504"/>
    <w:rsid w:val="005363B4"/>
    <w:rsid w:val="0053712D"/>
    <w:rsid w:val="005403F4"/>
    <w:rsid w:val="00540B60"/>
    <w:rsid w:val="00541076"/>
    <w:rsid w:val="00541136"/>
    <w:rsid w:val="0054216F"/>
    <w:rsid w:val="00542F18"/>
    <w:rsid w:val="0054343C"/>
    <w:rsid w:val="00544853"/>
    <w:rsid w:val="00544CA5"/>
    <w:rsid w:val="005450E2"/>
    <w:rsid w:val="00545B19"/>
    <w:rsid w:val="00547404"/>
    <w:rsid w:val="005474A2"/>
    <w:rsid w:val="00547520"/>
    <w:rsid w:val="0055035F"/>
    <w:rsid w:val="005507FD"/>
    <w:rsid w:val="005511C0"/>
    <w:rsid w:val="00551D4B"/>
    <w:rsid w:val="00551E3C"/>
    <w:rsid w:val="0055232C"/>
    <w:rsid w:val="0055278E"/>
    <w:rsid w:val="00555488"/>
    <w:rsid w:val="0055549A"/>
    <w:rsid w:val="00555B18"/>
    <w:rsid w:val="00555C9C"/>
    <w:rsid w:val="00556A4D"/>
    <w:rsid w:val="00557319"/>
    <w:rsid w:val="0055764E"/>
    <w:rsid w:val="00560528"/>
    <w:rsid w:val="00560699"/>
    <w:rsid w:val="00561503"/>
    <w:rsid w:val="00561923"/>
    <w:rsid w:val="005622F8"/>
    <w:rsid w:val="0056310A"/>
    <w:rsid w:val="0056336F"/>
    <w:rsid w:val="00565AF7"/>
    <w:rsid w:val="00566024"/>
    <w:rsid w:val="005671C3"/>
    <w:rsid w:val="0057060C"/>
    <w:rsid w:val="0057189C"/>
    <w:rsid w:val="00571BD2"/>
    <w:rsid w:val="00571CD7"/>
    <w:rsid w:val="00571D59"/>
    <w:rsid w:val="00572E3E"/>
    <w:rsid w:val="0057332B"/>
    <w:rsid w:val="0057364D"/>
    <w:rsid w:val="005737FC"/>
    <w:rsid w:val="0057420B"/>
    <w:rsid w:val="0057593B"/>
    <w:rsid w:val="005762CE"/>
    <w:rsid w:val="00580280"/>
    <w:rsid w:val="00580B9E"/>
    <w:rsid w:val="00580DAB"/>
    <w:rsid w:val="0058135A"/>
    <w:rsid w:val="005817D9"/>
    <w:rsid w:val="00581F7C"/>
    <w:rsid w:val="00583358"/>
    <w:rsid w:val="005839BF"/>
    <w:rsid w:val="00584058"/>
    <w:rsid w:val="005844A5"/>
    <w:rsid w:val="005846B4"/>
    <w:rsid w:val="005850E5"/>
    <w:rsid w:val="005851E0"/>
    <w:rsid w:val="00585571"/>
    <w:rsid w:val="005856F9"/>
    <w:rsid w:val="00585B91"/>
    <w:rsid w:val="00586BB0"/>
    <w:rsid w:val="00586BF1"/>
    <w:rsid w:val="00587DC4"/>
    <w:rsid w:val="0059008F"/>
    <w:rsid w:val="005903E4"/>
    <w:rsid w:val="005907D5"/>
    <w:rsid w:val="005910C0"/>
    <w:rsid w:val="005913EE"/>
    <w:rsid w:val="00592461"/>
    <w:rsid w:val="005950D6"/>
    <w:rsid w:val="0059519C"/>
    <w:rsid w:val="00595524"/>
    <w:rsid w:val="005974F3"/>
    <w:rsid w:val="0059751C"/>
    <w:rsid w:val="00597919"/>
    <w:rsid w:val="005A0B9F"/>
    <w:rsid w:val="005A0EFC"/>
    <w:rsid w:val="005A44E7"/>
    <w:rsid w:val="005A5D8E"/>
    <w:rsid w:val="005A63D8"/>
    <w:rsid w:val="005A7420"/>
    <w:rsid w:val="005A7C14"/>
    <w:rsid w:val="005A7DBE"/>
    <w:rsid w:val="005B152C"/>
    <w:rsid w:val="005B1C64"/>
    <w:rsid w:val="005B1DE8"/>
    <w:rsid w:val="005B2294"/>
    <w:rsid w:val="005B271E"/>
    <w:rsid w:val="005B2807"/>
    <w:rsid w:val="005B3606"/>
    <w:rsid w:val="005B388D"/>
    <w:rsid w:val="005B3E08"/>
    <w:rsid w:val="005B49B6"/>
    <w:rsid w:val="005B56EE"/>
    <w:rsid w:val="005B63E1"/>
    <w:rsid w:val="005B672C"/>
    <w:rsid w:val="005B747D"/>
    <w:rsid w:val="005B7733"/>
    <w:rsid w:val="005B7A22"/>
    <w:rsid w:val="005C0602"/>
    <w:rsid w:val="005C0D5D"/>
    <w:rsid w:val="005C1415"/>
    <w:rsid w:val="005C191A"/>
    <w:rsid w:val="005C2AA9"/>
    <w:rsid w:val="005C330D"/>
    <w:rsid w:val="005C40C7"/>
    <w:rsid w:val="005C4114"/>
    <w:rsid w:val="005C4EFF"/>
    <w:rsid w:val="005C4F43"/>
    <w:rsid w:val="005C6E71"/>
    <w:rsid w:val="005C7363"/>
    <w:rsid w:val="005D0B55"/>
    <w:rsid w:val="005D4A04"/>
    <w:rsid w:val="005D4CF7"/>
    <w:rsid w:val="005D5347"/>
    <w:rsid w:val="005D5CC5"/>
    <w:rsid w:val="005D5FE6"/>
    <w:rsid w:val="005D61EA"/>
    <w:rsid w:val="005D74D8"/>
    <w:rsid w:val="005D787B"/>
    <w:rsid w:val="005E031D"/>
    <w:rsid w:val="005E03AC"/>
    <w:rsid w:val="005E04B5"/>
    <w:rsid w:val="005E0621"/>
    <w:rsid w:val="005E12BE"/>
    <w:rsid w:val="005E2C81"/>
    <w:rsid w:val="005E4D3C"/>
    <w:rsid w:val="005E7158"/>
    <w:rsid w:val="005E7ECB"/>
    <w:rsid w:val="005F0C00"/>
    <w:rsid w:val="005F1037"/>
    <w:rsid w:val="005F2BF8"/>
    <w:rsid w:val="005F2EA8"/>
    <w:rsid w:val="005F3B04"/>
    <w:rsid w:val="005F5574"/>
    <w:rsid w:val="005F5D1D"/>
    <w:rsid w:val="005F60C9"/>
    <w:rsid w:val="005F64C6"/>
    <w:rsid w:val="006008F1"/>
    <w:rsid w:val="00601714"/>
    <w:rsid w:val="00601735"/>
    <w:rsid w:val="00602BD2"/>
    <w:rsid w:val="00604980"/>
    <w:rsid w:val="0060614D"/>
    <w:rsid w:val="00610871"/>
    <w:rsid w:val="00610E48"/>
    <w:rsid w:val="00610FE0"/>
    <w:rsid w:val="00613C47"/>
    <w:rsid w:val="00615086"/>
    <w:rsid w:val="00616201"/>
    <w:rsid w:val="00616225"/>
    <w:rsid w:val="00616BA2"/>
    <w:rsid w:val="0061705E"/>
    <w:rsid w:val="00617914"/>
    <w:rsid w:val="00617A8B"/>
    <w:rsid w:val="00621904"/>
    <w:rsid w:val="00622248"/>
    <w:rsid w:val="00622FEA"/>
    <w:rsid w:val="00623CDF"/>
    <w:rsid w:val="00623DB1"/>
    <w:rsid w:val="006245F3"/>
    <w:rsid w:val="0062485E"/>
    <w:rsid w:val="00624DBE"/>
    <w:rsid w:val="00625450"/>
    <w:rsid w:val="0062557A"/>
    <w:rsid w:val="0062624F"/>
    <w:rsid w:val="006319CA"/>
    <w:rsid w:val="00633B3E"/>
    <w:rsid w:val="00634EC0"/>
    <w:rsid w:val="0063627F"/>
    <w:rsid w:val="006376C4"/>
    <w:rsid w:val="006403E7"/>
    <w:rsid w:val="00642D72"/>
    <w:rsid w:val="006443CB"/>
    <w:rsid w:val="006448B8"/>
    <w:rsid w:val="00644F80"/>
    <w:rsid w:val="00645874"/>
    <w:rsid w:val="00647673"/>
    <w:rsid w:val="00650F81"/>
    <w:rsid w:val="00650FC7"/>
    <w:rsid w:val="00651F86"/>
    <w:rsid w:val="0065395E"/>
    <w:rsid w:val="00653C24"/>
    <w:rsid w:val="00653D68"/>
    <w:rsid w:val="00653E4E"/>
    <w:rsid w:val="00654275"/>
    <w:rsid w:val="0065446D"/>
    <w:rsid w:val="00654891"/>
    <w:rsid w:val="00654894"/>
    <w:rsid w:val="00655104"/>
    <w:rsid w:val="00656067"/>
    <w:rsid w:val="00660693"/>
    <w:rsid w:val="006611D6"/>
    <w:rsid w:val="00661918"/>
    <w:rsid w:val="00662A5A"/>
    <w:rsid w:val="006636D0"/>
    <w:rsid w:val="00663834"/>
    <w:rsid w:val="00663BF1"/>
    <w:rsid w:val="006647D7"/>
    <w:rsid w:val="00664F1B"/>
    <w:rsid w:val="006653D7"/>
    <w:rsid w:val="00665BFF"/>
    <w:rsid w:val="006665BA"/>
    <w:rsid w:val="00666A4F"/>
    <w:rsid w:val="00667477"/>
    <w:rsid w:val="006703D9"/>
    <w:rsid w:val="00672DFC"/>
    <w:rsid w:val="00672F5B"/>
    <w:rsid w:val="00673DEE"/>
    <w:rsid w:val="00674E69"/>
    <w:rsid w:val="0067738E"/>
    <w:rsid w:val="00677F23"/>
    <w:rsid w:val="0068055B"/>
    <w:rsid w:val="00680936"/>
    <w:rsid w:val="00680D8C"/>
    <w:rsid w:val="00680D99"/>
    <w:rsid w:val="006821B2"/>
    <w:rsid w:val="00682725"/>
    <w:rsid w:val="00682A1B"/>
    <w:rsid w:val="00682D73"/>
    <w:rsid w:val="00682ED3"/>
    <w:rsid w:val="00683126"/>
    <w:rsid w:val="00683993"/>
    <w:rsid w:val="006846E8"/>
    <w:rsid w:val="00685EBD"/>
    <w:rsid w:val="006861C3"/>
    <w:rsid w:val="00686AF3"/>
    <w:rsid w:val="00690F1F"/>
    <w:rsid w:val="006915BD"/>
    <w:rsid w:val="006915F2"/>
    <w:rsid w:val="00692582"/>
    <w:rsid w:val="00692592"/>
    <w:rsid w:val="00692A2F"/>
    <w:rsid w:val="0069322C"/>
    <w:rsid w:val="00693652"/>
    <w:rsid w:val="006939E7"/>
    <w:rsid w:val="00693D3E"/>
    <w:rsid w:val="006942F7"/>
    <w:rsid w:val="006956FB"/>
    <w:rsid w:val="00697D85"/>
    <w:rsid w:val="006A1A71"/>
    <w:rsid w:val="006A1D3D"/>
    <w:rsid w:val="006A2150"/>
    <w:rsid w:val="006A2216"/>
    <w:rsid w:val="006A241D"/>
    <w:rsid w:val="006A3288"/>
    <w:rsid w:val="006A43E6"/>
    <w:rsid w:val="006A47EB"/>
    <w:rsid w:val="006A4AEE"/>
    <w:rsid w:val="006A5E74"/>
    <w:rsid w:val="006A70BE"/>
    <w:rsid w:val="006A7290"/>
    <w:rsid w:val="006A7934"/>
    <w:rsid w:val="006A7BC8"/>
    <w:rsid w:val="006B0001"/>
    <w:rsid w:val="006B054B"/>
    <w:rsid w:val="006B059F"/>
    <w:rsid w:val="006B0E3A"/>
    <w:rsid w:val="006B2048"/>
    <w:rsid w:val="006B215A"/>
    <w:rsid w:val="006B2AD6"/>
    <w:rsid w:val="006B342E"/>
    <w:rsid w:val="006B3812"/>
    <w:rsid w:val="006B3B80"/>
    <w:rsid w:val="006B6EF0"/>
    <w:rsid w:val="006B6F32"/>
    <w:rsid w:val="006B7130"/>
    <w:rsid w:val="006B73CC"/>
    <w:rsid w:val="006B7695"/>
    <w:rsid w:val="006C0176"/>
    <w:rsid w:val="006C2994"/>
    <w:rsid w:val="006C35EC"/>
    <w:rsid w:val="006C4150"/>
    <w:rsid w:val="006C4382"/>
    <w:rsid w:val="006C4891"/>
    <w:rsid w:val="006C5683"/>
    <w:rsid w:val="006C5E33"/>
    <w:rsid w:val="006C5E48"/>
    <w:rsid w:val="006C6434"/>
    <w:rsid w:val="006C6CD8"/>
    <w:rsid w:val="006C70BB"/>
    <w:rsid w:val="006C7EB1"/>
    <w:rsid w:val="006D013F"/>
    <w:rsid w:val="006D017F"/>
    <w:rsid w:val="006D08BD"/>
    <w:rsid w:val="006D0F8E"/>
    <w:rsid w:val="006D1416"/>
    <w:rsid w:val="006D1D3F"/>
    <w:rsid w:val="006D253B"/>
    <w:rsid w:val="006D325A"/>
    <w:rsid w:val="006D386A"/>
    <w:rsid w:val="006D4242"/>
    <w:rsid w:val="006D45F0"/>
    <w:rsid w:val="006D4C8F"/>
    <w:rsid w:val="006D52A0"/>
    <w:rsid w:val="006D57CB"/>
    <w:rsid w:val="006D5819"/>
    <w:rsid w:val="006D5E6F"/>
    <w:rsid w:val="006D693F"/>
    <w:rsid w:val="006D6CDD"/>
    <w:rsid w:val="006D7604"/>
    <w:rsid w:val="006D765E"/>
    <w:rsid w:val="006D76CB"/>
    <w:rsid w:val="006E0455"/>
    <w:rsid w:val="006E4238"/>
    <w:rsid w:val="006E4551"/>
    <w:rsid w:val="006E5F01"/>
    <w:rsid w:val="006E7033"/>
    <w:rsid w:val="006E7404"/>
    <w:rsid w:val="006E7B97"/>
    <w:rsid w:val="006F05B9"/>
    <w:rsid w:val="006F1972"/>
    <w:rsid w:val="006F1EA3"/>
    <w:rsid w:val="006F2627"/>
    <w:rsid w:val="006F2A57"/>
    <w:rsid w:val="006F3187"/>
    <w:rsid w:val="006F3568"/>
    <w:rsid w:val="006F40AD"/>
    <w:rsid w:val="006F53EB"/>
    <w:rsid w:val="006F6360"/>
    <w:rsid w:val="006F6436"/>
    <w:rsid w:val="006F65C5"/>
    <w:rsid w:val="006F687A"/>
    <w:rsid w:val="006F68EF"/>
    <w:rsid w:val="006F6D4C"/>
    <w:rsid w:val="006F6E67"/>
    <w:rsid w:val="006F7157"/>
    <w:rsid w:val="006F78E0"/>
    <w:rsid w:val="007023EA"/>
    <w:rsid w:val="00702B1B"/>
    <w:rsid w:val="007032B3"/>
    <w:rsid w:val="00704164"/>
    <w:rsid w:val="007063BD"/>
    <w:rsid w:val="00706A58"/>
    <w:rsid w:val="00707517"/>
    <w:rsid w:val="007078ED"/>
    <w:rsid w:val="00710187"/>
    <w:rsid w:val="007101D7"/>
    <w:rsid w:val="007110E1"/>
    <w:rsid w:val="00711B18"/>
    <w:rsid w:val="007126D1"/>
    <w:rsid w:val="00714394"/>
    <w:rsid w:val="00714C87"/>
    <w:rsid w:val="00714ED6"/>
    <w:rsid w:val="00715E8D"/>
    <w:rsid w:val="00721C26"/>
    <w:rsid w:val="00721F7E"/>
    <w:rsid w:val="00722E29"/>
    <w:rsid w:val="00723ECB"/>
    <w:rsid w:val="00724606"/>
    <w:rsid w:val="00724A36"/>
    <w:rsid w:val="00724A60"/>
    <w:rsid w:val="00724E85"/>
    <w:rsid w:val="0072525D"/>
    <w:rsid w:val="00726E8A"/>
    <w:rsid w:val="00727047"/>
    <w:rsid w:val="00727A0E"/>
    <w:rsid w:val="00727C81"/>
    <w:rsid w:val="00730B33"/>
    <w:rsid w:val="00734510"/>
    <w:rsid w:val="00734887"/>
    <w:rsid w:val="007365B6"/>
    <w:rsid w:val="00737394"/>
    <w:rsid w:val="007401E2"/>
    <w:rsid w:val="00740205"/>
    <w:rsid w:val="007411E5"/>
    <w:rsid w:val="00741605"/>
    <w:rsid w:val="00742528"/>
    <w:rsid w:val="00742788"/>
    <w:rsid w:val="007436F2"/>
    <w:rsid w:val="00743B2E"/>
    <w:rsid w:val="0074436D"/>
    <w:rsid w:val="00746951"/>
    <w:rsid w:val="00746F65"/>
    <w:rsid w:val="007472C3"/>
    <w:rsid w:val="0074791E"/>
    <w:rsid w:val="00750948"/>
    <w:rsid w:val="00750A23"/>
    <w:rsid w:val="0075115D"/>
    <w:rsid w:val="00751A33"/>
    <w:rsid w:val="00753890"/>
    <w:rsid w:val="0075466D"/>
    <w:rsid w:val="007555DF"/>
    <w:rsid w:val="007569DC"/>
    <w:rsid w:val="0075711E"/>
    <w:rsid w:val="00757549"/>
    <w:rsid w:val="007579F2"/>
    <w:rsid w:val="00761434"/>
    <w:rsid w:val="00761FD5"/>
    <w:rsid w:val="00762BB6"/>
    <w:rsid w:val="0076341D"/>
    <w:rsid w:val="0076446D"/>
    <w:rsid w:val="007647EF"/>
    <w:rsid w:val="00765DD8"/>
    <w:rsid w:val="00766230"/>
    <w:rsid w:val="00766B33"/>
    <w:rsid w:val="00766D36"/>
    <w:rsid w:val="00767607"/>
    <w:rsid w:val="00767ACD"/>
    <w:rsid w:val="007705B5"/>
    <w:rsid w:val="0077270D"/>
    <w:rsid w:val="00773874"/>
    <w:rsid w:val="0077393B"/>
    <w:rsid w:val="00775D3B"/>
    <w:rsid w:val="0077615A"/>
    <w:rsid w:val="007806A0"/>
    <w:rsid w:val="00782346"/>
    <w:rsid w:val="007838CD"/>
    <w:rsid w:val="007839A9"/>
    <w:rsid w:val="007840F3"/>
    <w:rsid w:val="007849BE"/>
    <w:rsid w:val="00785491"/>
    <w:rsid w:val="007858C0"/>
    <w:rsid w:val="0078679A"/>
    <w:rsid w:val="00786BDC"/>
    <w:rsid w:val="007871FE"/>
    <w:rsid w:val="00787C89"/>
    <w:rsid w:val="007908ED"/>
    <w:rsid w:val="00790F74"/>
    <w:rsid w:val="00792014"/>
    <w:rsid w:val="007921CD"/>
    <w:rsid w:val="00792288"/>
    <w:rsid w:val="00792447"/>
    <w:rsid w:val="007928C6"/>
    <w:rsid w:val="00792E73"/>
    <w:rsid w:val="0079694C"/>
    <w:rsid w:val="007A0187"/>
    <w:rsid w:val="007A19AC"/>
    <w:rsid w:val="007A268F"/>
    <w:rsid w:val="007A29EC"/>
    <w:rsid w:val="007A4A53"/>
    <w:rsid w:val="007A4C93"/>
    <w:rsid w:val="007A4E17"/>
    <w:rsid w:val="007A7F6D"/>
    <w:rsid w:val="007B0FBD"/>
    <w:rsid w:val="007B10EC"/>
    <w:rsid w:val="007B1BAF"/>
    <w:rsid w:val="007B20C3"/>
    <w:rsid w:val="007B2FE8"/>
    <w:rsid w:val="007B35F7"/>
    <w:rsid w:val="007B4DD5"/>
    <w:rsid w:val="007B4F72"/>
    <w:rsid w:val="007B5148"/>
    <w:rsid w:val="007B5A16"/>
    <w:rsid w:val="007B71AA"/>
    <w:rsid w:val="007B7F09"/>
    <w:rsid w:val="007C03FE"/>
    <w:rsid w:val="007C0E04"/>
    <w:rsid w:val="007C17D3"/>
    <w:rsid w:val="007C1FA2"/>
    <w:rsid w:val="007C2827"/>
    <w:rsid w:val="007C3A26"/>
    <w:rsid w:val="007C4032"/>
    <w:rsid w:val="007C4CE1"/>
    <w:rsid w:val="007C537A"/>
    <w:rsid w:val="007C57D1"/>
    <w:rsid w:val="007C6B3E"/>
    <w:rsid w:val="007C7130"/>
    <w:rsid w:val="007C74E5"/>
    <w:rsid w:val="007C7F57"/>
    <w:rsid w:val="007D0348"/>
    <w:rsid w:val="007D0E43"/>
    <w:rsid w:val="007D13E7"/>
    <w:rsid w:val="007D1A3E"/>
    <w:rsid w:val="007D1E37"/>
    <w:rsid w:val="007D2335"/>
    <w:rsid w:val="007D358B"/>
    <w:rsid w:val="007D370E"/>
    <w:rsid w:val="007D4624"/>
    <w:rsid w:val="007D4A8F"/>
    <w:rsid w:val="007D563E"/>
    <w:rsid w:val="007D5A49"/>
    <w:rsid w:val="007D5FC1"/>
    <w:rsid w:val="007D6EB6"/>
    <w:rsid w:val="007D715A"/>
    <w:rsid w:val="007E002B"/>
    <w:rsid w:val="007E08DB"/>
    <w:rsid w:val="007E0B17"/>
    <w:rsid w:val="007E0D90"/>
    <w:rsid w:val="007E0E9E"/>
    <w:rsid w:val="007E12DC"/>
    <w:rsid w:val="007E1760"/>
    <w:rsid w:val="007E21FB"/>
    <w:rsid w:val="007E3B9D"/>
    <w:rsid w:val="007E420B"/>
    <w:rsid w:val="007E4932"/>
    <w:rsid w:val="007E4CAD"/>
    <w:rsid w:val="007E502C"/>
    <w:rsid w:val="007E516A"/>
    <w:rsid w:val="007E5BD7"/>
    <w:rsid w:val="007E6761"/>
    <w:rsid w:val="007E75F0"/>
    <w:rsid w:val="007E7968"/>
    <w:rsid w:val="007E79C4"/>
    <w:rsid w:val="007F013A"/>
    <w:rsid w:val="007F0730"/>
    <w:rsid w:val="007F1D54"/>
    <w:rsid w:val="007F2D90"/>
    <w:rsid w:val="007F3F6F"/>
    <w:rsid w:val="007F48A9"/>
    <w:rsid w:val="007F4E28"/>
    <w:rsid w:val="007F4F82"/>
    <w:rsid w:val="007F6758"/>
    <w:rsid w:val="007F6D96"/>
    <w:rsid w:val="00800D05"/>
    <w:rsid w:val="00801D7A"/>
    <w:rsid w:val="008020F2"/>
    <w:rsid w:val="00803F74"/>
    <w:rsid w:val="00804653"/>
    <w:rsid w:val="00804C48"/>
    <w:rsid w:val="0080505A"/>
    <w:rsid w:val="008060B3"/>
    <w:rsid w:val="00806639"/>
    <w:rsid w:val="00806A84"/>
    <w:rsid w:val="008073A4"/>
    <w:rsid w:val="00807C6C"/>
    <w:rsid w:val="008115ED"/>
    <w:rsid w:val="0081254B"/>
    <w:rsid w:val="0081340B"/>
    <w:rsid w:val="00815822"/>
    <w:rsid w:val="00815B93"/>
    <w:rsid w:val="00816585"/>
    <w:rsid w:val="0081760E"/>
    <w:rsid w:val="00817BB4"/>
    <w:rsid w:val="00817E4F"/>
    <w:rsid w:val="00820F5B"/>
    <w:rsid w:val="00821021"/>
    <w:rsid w:val="008214BB"/>
    <w:rsid w:val="00821B58"/>
    <w:rsid w:val="00822D4E"/>
    <w:rsid w:val="00822FBA"/>
    <w:rsid w:val="0082398C"/>
    <w:rsid w:val="00824FF1"/>
    <w:rsid w:val="00825196"/>
    <w:rsid w:val="00826F4C"/>
    <w:rsid w:val="008303A6"/>
    <w:rsid w:val="008310B4"/>
    <w:rsid w:val="00831573"/>
    <w:rsid w:val="00831C7F"/>
    <w:rsid w:val="00833C51"/>
    <w:rsid w:val="00834577"/>
    <w:rsid w:val="008349A6"/>
    <w:rsid w:val="00835271"/>
    <w:rsid w:val="00835679"/>
    <w:rsid w:val="008377DA"/>
    <w:rsid w:val="00841F21"/>
    <w:rsid w:val="00842991"/>
    <w:rsid w:val="008429B0"/>
    <w:rsid w:val="00843900"/>
    <w:rsid w:val="00844C5B"/>
    <w:rsid w:val="00845A15"/>
    <w:rsid w:val="0084632F"/>
    <w:rsid w:val="008474A9"/>
    <w:rsid w:val="00851180"/>
    <w:rsid w:val="00852528"/>
    <w:rsid w:val="0085434F"/>
    <w:rsid w:val="008543F7"/>
    <w:rsid w:val="008545DC"/>
    <w:rsid w:val="00854A7E"/>
    <w:rsid w:val="00855B06"/>
    <w:rsid w:val="00856B95"/>
    <w:rsid w:val="00856D1A"/>
    <w:rsid w:val="00857D29"/>
    <w:rsid w:val="00861313"/>
    <w:rsid w:val="0086161C"/>
    <w:rsid w:val="008617AF"/>
    <w:rsid w:val="00861DB0"/>
    <w:rsid w:val="00861E83"/>
    <w:rsid w:val="0086225C"/>
    <w:rsid w:val="008629A8"/>
    <w:rsid w:val="00863225"/>
    <w:rsid w:val="00863ADA"/>
    <w:rsid w:val="00865BAA"/>
    <w:rsid w:val="00865C83"/>
    <w:rsid w:val="008677CB"/>
    <w:rsid w:val="0087026D"/>
    <w:rsid w:val="0087056E"/>
    <w:rsid w:val="00870CB6"/>
    <w:rsid w:val="008737AE"/>
    <w:rsid w:val="00873FEA"/>
    <w:rsid w:val="0087419B"/>
    <w:rsid w:val="008744CC"/>
    <w:rsid w:val="00874592"/>
    <w:rsid w:val="008751C1"/>
    <w:rsid w:val="00876C1B"/>
    <w:rsid w:val="00876E70"/>
    <w:rsid w:val="008804E1"/>
    <w:rsid w:val="008815B6"/>
    <w:rsid w:val="008818F6"/>
    <w:rsid w:val="00881D45"/>
    <w:rsid w:val="0088398E"/>
    <w:rsid w:val="00885182"/>
    <w:rsid w:val="008858B7"/>
    <w:rsid w:val="0088647E"/>
    <w:rsid w:val="00886D52"/>
    <w:rsid w:val="00887215"/>
    <w:rsid w:val="00887E02"/>
    <w:rsid w:val="00890382"/>
    <w:rsid w:val="0089046A"/>
    <w:rsid w:val="00891106"/>
    <w:rsid w:val="00892833"/>
    <w:rsid w:val="00892DCB"/>
    <w:rsid w:val="00893479"/>
    <w:rsid w:val="0089375D"/>
    <w:rsid w:val="008943CB"/>
    <w:rsid w:val="008946B9"/>
    <w:rsid w:val="008A0882"/>
    <w:rsid w:val="008A10C1"/>
    <w:rsid w:val="008A181A"/>
    <w:rsid w:val="008A183F"/>
    <w:rsid w:val="008A1C47"/>
    <w:rsid w:val="008A2289"/>
    <w:rsid w:val="008A34BA"/>
    <w:rsid w:val="008A3766"/>
    <w:rsid w:val="008A4F66"/>
    <w:rsid w:val="008A5290"/>
    <w:rsid w:val="008A593A"/>
    <w:rsid w:val="008A6A60"/>
    <w:rsid w:val="008A6C5A"/>
    <w:rsid w:val="008A6CCA"/>
    <w:rsid w:val="008B1B8C"/>
    <w:rsid w:val="008B2C59"/>
    <w:rsid w:val="008B2DF3"/>
    <w:rsid w:val="008B376A"/>
    <w:rsid w:val="008B444E"/>
    <w:rsid w:val="008B569F"/>
    <w:rsid w:val="008B7220"/>
    <w:rsid w:val="008C0669"/>
    <w:rsid w:val="008C0814"/>
    <w:rsid w:val="008C08A5"/>
    <w:rsid w:val="008C1DD7"/>
    <w:rsid w:val="008C26FA"/>
    <w:rsid w:val="008C2BC1"/>
    <w:rsid w:val="008C4566"/>
    <w:rsid w:val="008C46B6"/>
    <w:rsid w:val="008C4935"/>
    <w:rsid w:val="008C522A"/>
    <w:rsid w:val="008C5E71"/>
    <w:rsid w:val="008C64E3"/>
    <w:rsid w:val="008C6A8B"/>
    <w:rsid w:val="008C77F7"/>
    <w:rsid w:val="008D00EA"/>
    <w:rsid w:val="008D0D1E"/>
    <w:rsid w:val="008D1175"/>
    <w:rsid w:val="008D1627"/>
    <w:rsid w:val="008D1DA0"/>
    <w:rsid w:val="008D2828"/>
    <w:rsid w:val="008D284E"/>
    <w:rsid w:val="008D4ED3"/>
    <w:rsid w:val="008D54BF"/>
    <w:rsid w:val="008D5DC6"/>
    <w:rsid w:val="008D6A11"/>
    <w:rsid w:val="008E0D4B"/>
    <w:rsid w:val="008E1C27"/>
    <w:rsid w:val="008E1E54"/>
    <w:rsid w:val="008E2057"/>
    <w:rsid w:val="008E31EC"/>
    <w:rsid w:val="008E3C88"/>
    <w:rsid w:val="008E488D"/>
    <w:rsid w:val="008E4E17"/>
    <w:rsid w:val="008E5337"/>
    <w:rsid w:val="008E610D"/>
    <w:rsid w:val="008E69A2"/>
    <w:rsid w:val="008E78F2"/>
    <w:rsid w:val="008E7B12"/>
    <w:rsid w:val="008F022C"/>
    <w:rsid w:val="008F152D"/>
    <w:rsid w:val="008F2A60"/>
    <w:rsid w:val="008F310D"/>
    <w:rsid w:val="008F3888"/>
    <w:rsid w:val="008F3B22"/>
    <w:rsid w:val="008F43C7"/>
    <w:rsid w:val="008F4823"/>
    <w:rsid w:val="008F606D"/>
    <w:rsid w:val="008F7150"/>
    <w:rsid w:val="008F71CC"/>
    <w:rsid w:val="008F721C"/>
    <w:rsid w:val="00900662"/>
    <w:rsid w:val="00901953"/>
    <w:rsid w:val="00902166"/>
    <w:rsid w:val="00903C31"/>
    <w:rsid w:val="009040A1"/>
    <w:rsid w:val="0090473B"/>
    <w:rsid w:val="0090487F"/>
    <w:rsid w:val="00904A00"/>
    <w:rsid w:val="00904EAB"/>
    <w:rsid w:val="00904EAC"/>
    <w:rsid w:val="00905282"/>
    <w:rsid w:val="00905908"/>
    <w:rsid w:val="00906AD1"/>
    <w:rsid w:val="009075A4"/>
    <w:rsid w:val="009101AF"/>
    <w:rsid w:val="00911808"/>
    <w:rsid w:val="009145FB"/>
    <w:rsid w:val="0091555E"/>
    <w:rsid w:val="00915786"/>
    <w:rsid w:val="0091746C"/>
    <w:rsid w:val="00917816"/>
    <w:rsid w:val="00917D06"/>
    <w:rsid w:val="009207DB"/>
    <w:rsid w:val="00921202"/>
    <w:rsid w:val="00922024"/>
    <w:rsid w:val="009222A3"/>
    <w:rsid w:val="009224EE"/>
    <w:rsid w:val="00922D24"/>
    <w:rsid w:val="00924853"/>
    <w:rsid w:val="009252E0"/>
    <w:rsid w:val="00925501"/>
    <w:rsid w:val="00926982"/>
    <w:rsid w:val="00926D4C"/>
    <w:rsid w:val="009270C4"/>
    <w:rsid w:val="0093083B"/>
    <w:rsid w:val="0093092B"/>
    <w:rsid w:val="009319D7"/>
    <w:rsid w:val="009325F7"/>
    <w:rsid w:val="00932BCF"/>
    <w:rsid w:val="00933396"/>
    <w:rsid w:val="00934D73"/>
    <w:rsid w:val="00935042"/>
    <w:rsid w:val="009354F5"/>
    <w:rsid w:val="0093740F"/>
    <w:rsid w:val="00937B4A"/>
    <w:rsid w:val="00937BE9"/>
    <w:rsid w:val="00937C1D"/>
    <w:rsid w:val="00940804"/>
    <w:rsid w:val="00940E9B"/>
    <w:rsid w:val="00940FC3"/>
    <w:rsid w:val="009410B3"/>
    <w:rsid w:val="0094131D"/>
    <w:rsid w:val="0094166C"/>
    <w:rsid w:val="00942120"/>
    <w:rsid w:val="00942292"/>
    <w:rsid w:val="0094245E"/>
    <w:rsid w:val="009425F7"/>
    <w:rsid w:val="00943BC0"/>
    <w:rsid w:val="00944BF0"/>
    <w:rsid w:val="00945EC2"/>
    <w:rsid w:val="00946136"/>
    <w:rsid w:val="00946CD9"/>
    <w:rsid w:val="00946E7C"/>
    <w:rsid w:val="00947046"/>
    <w:rsid w:val="00950297"/>
    <w:rsid w:val="009505F4"/>
    <w:rsid w:val="00951216"/>
    <w:rsid w:val="00951614"/>
    <w:rsid w:val="0095279B"/>
    <w:rsid w:val="009533C3"/>
    <w:rsid w:val="009535D3"/>
    <w:rsid w:val="00953807"/>
    <w:rsid w:val="00954282"/>
    <w:rsid w:val="00954427"/>
    <w:rsid w:val="0095611C"/>
    <w:rsid w:val="009564ED"/>
    <w:rsid w:val="00956CA2"/>
    <w:rsid w:val="0096079B"/>
    <w:rsid w:val="0096218D"/>
    <w:rsid w:val="00964509"/>
    <w:rsid w:val="0096501B"/>
    <w:rsid w:val="0096625E"/>
    <w:rsid w:val="0096662B"/>
    <w:rsid w:val="009666AF"/>
    <w:rsid w:val="00967180"/>
    <w:rsid w:val="0096797D"/>
    <w:rsid w:val="00970704"/>
    <w:rsid w:val="00970B65"/>
    <w:rsid w:val="00970D66"/>
    <w:rsid w:val="00971127"/>
    <w:rsid w:val="0097119E"/>
    <w:rsid w:val="009718E9"/>
    <w:rsid w:val="009734B8"/>
    <w:rsid w:val="00973514"/>
    <w:rsid w:val="009739F9"/>
    <w:rsid w:val="009741E7"/>
    <w:rsid w:val="00975C75"/>
    <w:rsid w:val="00977506"/>
    <w:rsid w:val="00977DFD"/>
    <w:rsid w:val="0098177A"/>
    <w:rsid w:val="00983583"/>
    <w:rsid w:val="00983EFD"/>
    <w:rsid w:val="009855B0"/>
    <w:rsid w:val="009859A8"/>
    <w:rsid w:val="00985F2F"/>
    <w:rsid w:val="00986257"/>
    <w:rsid w:val="00986564"/>
    <w:rsid w:val="0098658A"/>
    <w:rsid w:val="00986861"/>
    <w:rsid w:val="00987CBC"/>
    <w:rsid w:val="00991EB0"/>
    <w:rsid w:val="0099212B"/>
    <w:rsid w:val="0099245F"/>
    <w:rsid w:val="00993891"/>
    <w:rsid w:val="00995768"/>
    <w:rsid w:val="00995F21"/>
    <w:rsid w:val="00996203"/>
    <w:rsid w:val="00996326"/>
    <w:rsid w:val="009964FB"/>
    <w:rsid w:val="00996F95"/>
    <w:rsid w:val="00997B35"/>
    <w:rsid w:val="00997EA5"/>
    <w:rsid w:val="009A07D5"/>
    <w:rsid w:val="009A1FE7"/>
    <w:rsid w:val="009A2967"/>
    <w:rsid w:val="009A3274"/>
    <w:rsid w:val="009A36B7"/>
    <w:rsid w:val="009A3720"/>
    <w:rsid w:val="009A392B"/>
    <w:rsid w:val="009A3D58"/>
    <w:rsid w:val="009A42CF"/>
    <w:rsid w:val="009A44E8"/>
    <w:rsid w:val="009A581E"/>
    <w:rsid w:val="009A698D"/>
    <w:rsid w:val="009A6AB4"/>
    <w:rsid w:val="009B1DA5"/>
    <w:rsid w:val="009B1E1D"/>
    <w:rsid w:val="009B28FD"/>
    <w:rsid w:val="009B2AD6"/>
    <w:rsid w:val="009B3172"/>
    <w:rsid w:val="009B461D"/>
    <w:rsid w:val="009B4F1F"/>
    <w:rsid w:val="009B5594"/>
    <w:rsid w:val="009B59ED"/>
    <w:rsid w:val="009B6405"/>
    <w:rsid w:val="009B6D8D"/>
    <w:rsid w:val="009B729E"/>
    <w:rsid w:val="009B7498"/>
    <w:rsid w:val="009C217C"/>
    <w:rsid w:val="009C264B"/>
    <w:rsid w:val="009C34F1"/>
    <w:rsid w:val="009C3B80"/>
    <w:rsid w:val="009C3D84"/>
    <w:rsid w:val="009C3F5A"/>
    <w:rsid w:val="009C48C6"/>
    <w:rsid w:val="009C5D76"/>
    <w:rsid w:val="009C5DFB"/>
    <w:rsid w:val="009C5FDE"/>
    <w:rsid w:val="009C623B"/>
    <w:rsid w:val="009C69E7"/>
    <w:rsid w:val="009C7B1D"/>
    <w:rsid w:val="009C7F10"/>
    <w:rsid w:val="009C7FF8"/>
    <w:rsid w:val="009D03F1"/>
    <w:rsid w:val="009D0921"/>
    <w:rsid w:val="009D101B"/>
    <w:rsid w:val="009D118E"/>
    <w:rsid w:val="009D1CF4"/>
    <w:rsid w:val="009D271A"/>
    <w:rsid w:val="009D380F"/>
    <w:rsid w:val="009D57A7"/>
    <w:rsid w:val="009D65EE"/>
    <w:rsid w:val="009D6865"/>
    <w:rsid w:val="009D6903"/>
    <w:rsid w:val="009E02F1"/>
    <w:rsid w:val="009E0525"/>
    <w:rsid w:val="009E199C"/>
    <w:rsid w:val="009E1F76"/>
    <w:rsid w:val="009E20A6"/>
    <w:rsid w:val="009E233F"/>
    <w:rsid w:val="009E323A"/>
    <w:rsid w:val="009E328B"/>
    <w:rsid w:val="009E68C1"/>
    <w:rsid w:val="009E6DD0"/>
    <w:rsid w:val="009E6DEE"/>
    <w:rsid w:val="009E700C"/>
    <w:rsid w:val="009F082A"/>
    <w:rsid w:val="009F0BD9"/>
    <w:rsid w:val="009F12B4"/>
    <w:rsid w:val="009F33FA"/>
    <w:rsid w:val="009F347C"/>
    <w:rsid w:val="009F3F14"/>
    <w:rsid w:val="009F54D7"/>
    <w:rsid w:val="009F5B9D"/>
    <w:rsid w:val="009F6619"/>
    <w:rsid w:val="009F68FF"/>
    <w:rsid w:val="00A00E77"/>
    <w:rsid w:val="00A01A4C"/>
    <w:rsid w:val="00A01C1F"/>
    <w:rsid w:val="00A01C98"/>
    <w:rsid w:val="00A020F7"/>
    <w:rsid w:val="00A025E5"/>
    <w:rsid w:val="00A04B2F"/>
    <w:rsid w:val="00A054CB"/>
    <w:rsid w:val="00A05E8F"/>
    <w:rsid w:val="00A06A54"/>
    <w:rsid w:val="00A10423"/>
    <w:rsid w:val="00A10A6F"/>
    <w:rsid w:val="00A115B1"/>
    <w:rsid w:val="00A118B4"/>
    <w:rsid w:val="00A129C6"/>
    <w:rsid w:val="00A14BDD"/>
    <w:rsid w:val="00A15A52"/>
    <w:rsid w:val="00A169FE"/>
    <w:rsid w:val="00A1706F"/>
    <w:rsid w:val="00A1721D"/>
    <w:rsid w:val="00A20630"/>
    <w:rsid w:val="00A20956"/>
    <w:rsid w:val="00A210DB"/>
    <w:rsid w:val="00A21667"/>
    <w:rsid w:val="00A220FB"/>
    <w:rsid w:val="00A223A5"/>
    <w:rsid w:val="00A22946"/>
    <w:rsid w:val="00A23770"/>
    <w:rsid w:val="00A241FD"/>
    <w:rsid w:val="00A24BC5"/>
    <w:rsid w:val="00A2504C"/>
    <w:rsid w:val="00A26CA4"/>
    <w:rsid w:val="00A26D2E"/>
    <w:rsid w:val="00A26E5D"/>
    <w:rsid w:val="00A276A6"/>
    <w:rsid w:val="00A276FF"/>
    <w:rsid w:val="00A27A41"/>
    <w:rsid w:val="00A30C82"/>
    <w:rsid w:val="00A31A01"/>
    <w:rsid w:val="00A32211"/>
    <w:rsid w:val="00A33842"/>
    <w:rsid w:val="00A33A1E"/>
    <w:rsid w:val="00A33FDC"/>
    <w:rsid w:val="00A34114"/>
    <w:rsid w:val="00A34C81"/>
    <w:rsid w:val="00A34E19"/>
    <w:rsid w:val="00A35C90"/>
    <w:rsid w:val="00A362F9"/>
    <w:rsid w:val="00A36BE7"/>
    <w:rsid w:val="00A36F35"/>
    <w:rsid w:val="00A373CC"/>
    <w:rsid w:val="00A3760C"/>
    <w:rsid w:val="00A37704"/>
    <w:rsid w:val="00A378A0"/>
    <w:rsid w:val="00A37E59"/>
    <w:rsid w:val="00A40108"/>
    <w:rsid w:val="00A404AF"/>
    <w:rsid w:val="00A40D0C"/>
    <w:rsid w:val="00A41302"/>
    <w:rsid w:val="00A41C59"/>
    <w:rsid w:val="00A4350C"/>
    <w:rsid w:val="00A43644"/>
    <w:rsid w:val="00A4383B"/>
    <w:rsid w:val="00A44BB6"/>
    <w:rsid w:val="00A45734"/>
    <w:rsid w:val="00A45B90"/>
    <w:rsid w:val="00A462F7"/>
    <w:rsid w:val="00A46659"/>
    <w:rsid w:val="00A46F1A"/>
    <w:rsid w:val="00A47029"/>
    <w:rsid w:val="00A477C3"/>
    <w:rsid w:val="00A50299"/>
    <w:rsid w:val="00A5067A"/>
    <w:rsid w:val="00A50D10"/>
    <w:rsid w:val="00A533D5"/>
    <w:rsid w:val="00A5510E"/>
    <w:rsid w:val="00A559F4"/>
    <w:rsid w:val="00A56173"/>
    <w:rsid w:val="00A56547"/>
    <w:rsid w:val="00A57079"/>
    <w:rsid w:val="00A570E0"/>
    <w:rsid w:val="00A606A0"/>
    <w:rsid w:val="00A60943"/>
    <w:rsid w:val="00A60A2E"/>
    <w:rsid w:val="00A60A60"/>
    <w:rsid w:val="00A61263"/>
    <w:rsid w:val="00A614AD"/>
    <w:rsid w:val="00A61608"/>
    <w:rsid w:val="00A616BD"/>
    <w:rsid w:val="00A61886"/>
    <w:rsid w:val="00A61E92"/>
    <w:rsid w:val="00A63D89"/>
    <w:rsid w:val="00A63EF3"/>
    <w:rsid w:val="00A650F1"/>
    <w:rsid w:val="00A6526E"/>
    <w:rsid w:val="00A65DA4"/>
    <w:rsid w:val="00A66E04"/>
    <w:rsid w:val="00A67194"/>
    <w:rsid w:val="00A671B3"/>
    <w:rsid w:val="00A67864"/>
    <w:rsid w:val="00A70242"/>
    <w:rsid w:val="00A7040E"/>
    <w:rsid w:val="00A7286F"/>
    <w:rsid w:val="00A734F2"/>
    <w:rsid w:val="00A73DEE"/>
    <w:rsid w:val="00A74678"/>
    <w:rsid w:val="00A75AEA"/>
    <w:rsid w:val="00A76063"/>
    <w:rsid w:val="00A767EB"/>
    <w:rsid w:val="00A771BF"/>
    <w:rsid w:val="00A77299"/>
    <w:rsid w:val="00A803C1"/>
    <w:rsid w:val="00A815B6"/>
    <w:rsid w:val="00A81953"/>
    <w:rsid w:val="00A823D7"/>
    <w:rsid w:val="00A827C9"/>
    <w:rsid w:val="00A8350D"/>
    <w:rsid w:val="00A85B31"/>
    <w:rsid w:val="00A861F3"/>
    <w:rsid w:val="00A86C48"/>
    <w:rsid w:val="00A90DB1"/>
    <w:rsid w:val="00A9147B"/>
    <w:rsid w:val="00A91BA8"/>
    <w:rsid w:val="00A91EF1"/>
    <w:rsid w:val="00A91EF2"/>
    <w:rsid w:val="00A9325C"/>
    <w:rsid w:val="00A93680"/>
    <w:rsid w:val="00A9430B"/>
    <w:rsid w:val="00A94483"/>
    <w:rsid w:val="00A959CA"/>
    <w:rsid w:val="00A96FC6"/>
    <w:rsid w:val="00A97A16"/>
    <w:rsid w:val="00A97B61"/>
    <w:rsid w:val="00A97C2E"/>
    <w:rsid w:val="00A97CE3"/>
    <w:rsid w:val="00A97E0C"/>
    <w:rsid w:val="00AA01DA"/>
    <w:rsid w:val="00AA1178"/>
    <w:rsid w:val="00AA11BA"/>
    <w:rsid w:val="00AA2D62"/>
    <w:rsid w:val="00AA2E2C"/>
    <w:rsid w:val="00AA2E90"/>
    <w:rsid w:val="00AA3077"/>
    <w:rsid w:val="00AA375B"/>
    <w:rsid w:val="00AA38AF"/>
    <w:rsid w:val="00AA450C"/>
    <w:rsid w:val="00AA4B62"/>
    <w:rsid w:val="00AA5EB3"/>
    <w:rsid w:val="00AA6916"/>
    <w:rsid w:val="00AB040A"/>
    <w:rsid w:val="00AB110E"/>
    <w:rsid w:val="00AB11CF"/>
    <w:rsid w:val="00AB1287"/>
    <w:rsid w:val="00AB1CE8"/>
    <w:rsid w:val="00AB2F06"/>
    <w:rsid w:val="00AB4FFF"/>
    <w:rsid w:val="00AB5190"/>
    <w:rsid w:val="00AB5513"/>
    <w:rsid w:val="00AB5A0C"/>
    <w:rsid w:val="00AB6070"/>
    <w:rsid w:val="00AB6DFC"/>
    <w:rsid w:val="00AB7354"/>
    <w:rsid w:val="00AB7C46"/>
    <w:rsid w:val="00AB7DD5"/>
    <w:rsid w:val="00AC05D0"/>
    <w:rsid w:val="00AC3637"/>
    <w:rsid w:val="00AC3D4F"/>
    <w:rsid w:val="00AC3DB7"/>
    <w:rsid w:val="00AC4699"/>
    <w:rsid w:val="00AC5650"/>
    <w:rsid w:val="00AC59DF"/>
    <w:rsid w:val="00AC72C7"/>
    <w:rsid w:val="00AC7899"/>
    <w:rsid w:val="00AD13D6"/>
    <w:rsid w:val="00AD4087"/>
    <w:rsid w:val="00AD4E84"/>
    <w:rsid w:val="00AD629C"/>
    <w:rsid w:val="00AD6A21"/>
    <w:rsid w:val="00AD6BE0"/>
    <w:rsid w:val="00AD752F"/>
    <w:rsid w:val="00AE0C8D"/>
    <w:rsid w:val="00AE0E2A"/>
    <w:rsid w:val="00AE1411"/>
    <w:rsid w:val="00AE19B4"/>
    <w:rsid w:val="00AE2330"/>
    <w:rsid w:val="00AE55BC"/>
    <w:rsid w:val="00AE62E7"/>
    <w:rsid w:val="00AE686D"/>
    <w:rsid w:val="00AE6B27"/>
    <w:rsid w:val="00AF0DC0"/>
    <w:rsid w:val="00AF0F96"/>
    <w:rsid w:val="00AF21D7"/>
    <w:rsid w:val="00AF28EB"/>
    <w:rsid w:val="00AF31BA"/>
    <w:rsid w:val="00AF36B6"/>
    <w:rsid w:val="00AF4803"/>
    <w:rsid w:val="00AF4D10"/>
    <w:rsid w:val="00AF58CB"/>
    <w:rsid w:val="00AF726F"/>
    <w:rsid w:val="00B00506"/>
    <w:rsid w:val="00B00ED5"/>
    <w:rsid w:val="00B0128C"/>
    <w:rsid w:val="00B0190C"/>
    <w:rsid w:val="00B01C3F"/>
    <w:rsid w:val="00B02315"/>
    <w:rsid w:val="00B02BF0"/>
    <w:rsid w:val="00B02EA8"/>
    <w:rsid w:val="00B034DD"/>
    <w:rsid w:val="00B03AB4"/>
    <w:rsid w:val="00B05B91"/>
    <w:rsid w:val="00B06ED4"/>
    <w:rsid w:val="00B077CC"/>
    <w:rsid w:val="00B07A28"/>
    <w:rsid w:val="00B102E7"/>
    <w:rsid w:val="00B12A63"/>
    <w:rsid w:val="00B13397"/>
    <w:rsid w:val="00B1400D"/>
    <w:rsid w:val="00B147C9"/>
    <w:rsid w:val="00B15BB2"/>
    <w:rsid w:val="00B16EBE"/>
    <w:rsid w:val="00B20E3B"/>
    <w:rsid w:val="00B21D0E"/>
    <w:rsid w:val="00B22C57"/>
    <w:rsid w:val="00B23C76"/>
    <w:rsid w:val="00B23EEE"/>
    <w:rsid w:val="00B27298"/>
    <w:rsid w:val="00B27384"/>
    <w:rsid w:val="00B276E4"/>
    <w:rsid w:val="00B27A6D"/>
    <w:rsid w:val="00B309F9"/>
    <w:rsid w:val="00B30DAD"/>
    <w:rsid w:val="00B31782"/>
    <w:rsid w:val="00B3402E"/>
    <w:rsid w:val="00B360B7"/>
    <w:rsid w:val="00B36928"/>
    <w:rsid w:val="00B37293"/>
    <w:rsid w:val="00B4076A"/>
    <w:rsid w:val="00B413EB"/>
    <w:rsid w:val="00B428F3"/>
    <w:rsid w:val="00B42C20"/>
    <w:rsid w:val="00B43287"/>
    <w:rsid w:val="00B43864"/>
    <w:rsid w:val="00B43AD9"/>
    <w:rsid w:val="00B443D5"/>
    <w:rsid w:val="00B44482"/>
    <w:rsid w:val="00B450D9"/>
    <w:rsid w:val="00B46FF2"/>
    <w:rsid w:val="00B51B75"/>
    <w:rsid w:val="00B52AD3"/>
    <w:rsid w:val="00B539EB"/>
    <w:rsid w:val="00B54B76"/>
    <w:rsid w:val="00B55ECC"/>
    <w:rsid w:val="00B560E5"/>
    <w:rsid w:val="00B5610F"/>
    <w:rsid w:val="00B576E1"/>
    <w:rsid w:val="00B6088D"/>
    <w:rsid w:val="00B608F1"/>
    <w:rsid w:val="00B60F79"/>
    <w:rsid w:val="00B61158"/>
    <w:rsid w:val="00B6252C"/>
    <w:rsid w:val="00B62CBE"/>
    <w:rsid w:val="00B62EFD"/>
    <w:rsid w:val="00B63999"/>
    <w:rsid w:val="00B63B4A"/>
    <w:rsid w:val="00B63E1F"/>
    <w:rsid w:val="00B641C5"/>
    <w:rsid w:val="00B64F8D"/>
    <w:rsid w:val="00B6533C"/>
    <w:rsid w:val="00B65388"/>
    <w:rsid w:val="00B6731A"/>
    <w:rsid w:val="00B673CA"/>
    <w:rsid w:val="00B70903"/>
    <w:rsid w:val="00B7108D"/>
    <w:rsid w:val="00B7117A"/>
    <w:rsid w:val="00B713F0"/>
    <w:rsid w:val="00B72053"/>
    <w:rsid w:val="00B733A9"/>
    <w:rsid w:val="00B73BEF"/>
    <w:rsid w:val="00B74530"/>
    <w:rsid w:val="00B7458C"/>
    <w:rsid w:val="00B74E4D"/>
    <w:rsid w:val="00B75D3F"/>
    <w:rsid w:val="00B75D4C"/>
    <w:rsid w:val="00B76F2C"/>
    <w:rsid w:val="00B77723"/>
    <w:rsid w:val="00B77863"/>
    <w:rsid w:val="00B801AC"/>
    <w:rsid w:val="00B815D3"/>
    <w:rsid w:val="00B8270D"/>
    <w:rsid w:val="00B827F1"/>
    <w:rsid w:val="00B82B33"/>
    <w:rsid w:val="00B8384C"/>
    <w:rsid w:val="00B843A1"/>
    <w:rsid w:val="00B8441F"/>
    <w:rsid w:val="00B854BE"/>
    <w:rsid w:val="00B85704"/>
    <w:rsid w:val="00B86421"/>
    <w:rsid w:val="00B866BF"/>
    <w:rsid w:val="00B868D6"/>
    <w:rsid w:val="00B86D0A"/>
    <w:rsid w:val="00B8748B"/>
    <w:rsid w:val="00B87B3F"/>
    <w:rsid w:val="00B90972"/>
    <w:rsid w:val="00B91818"/>
    <w:rsid w:val="00B922D6"/>
    <w:rsid w:val="00B92819"/>
    <w:rsid w:val="00B93E18"/>
    <w:rsid w:val="00B93E2C"/>
    <w:rsid w:val="00B94BE5"/>
    <w:rsid w:val="00B95B44"/>
    <w:rsid w:val="00B96069"/>
    <w:rsid w:val="00BA0A76"/>
    <w:rsid w:val="00BA11A9"/>
    <w:rsid w:val="00BA1642"/>
    <w:rsid w:val="00BA30C2"/>
    <w:rsid w:val="00BA31C6"/>
    <w:rsid w:val="00BA4B0A"/>
    <w:rsid w:val="00BA4FE7"/>
    <w:rsid w:val="00BA699B"/>
    <w:rsid w:val="00BA76AB"/>
    <w:rsid w:val="00BB0225"/>
    <w:rsid w:val="00BB0423"/>
    <w:rsid w:val="00BB1D73"/>
    <w:rsid w:val="00BB2CE4"/>
    <w:rsid w:val="00BB2D17"/>
    <w:rsid w:val="00BB2D1B"/>
    <w:rsid w:val="00BB42D2"/>
    <w:rsid w:val="00BB6ECF"/>
    <w:rsid w:val="00BB74B3"/>
    <w:rsid w:val="00BB777A"/>
    <w:rsid w:val="00BC06FE"/>
    <w:rsid w:val="00BC1765"/>
    <w:rsid w:val="00BC1FD6"/>
    <w:rsid w:val="00BC25D7"/>
    <w:rsid w:val="00BC320C"/>
    <w:rsid w:val="00BC4883"/>
    <w:rsid w:val="00BC5454"/>
    <w:rsid w:val="00BC5F7F"/>
    <w:rsid w:val="00BC74EE"/>
    <w:rsid w:val="00BC777E"/>
    <w:rsid w:val="00BD219A"/>
    <w:rsid w:val="00BD2C42"/>
    <w:rsid w:val="00BD2EF9"/>
    <w:rsid w:val="00BD2F1D"/>
    <w:rsid w:val="00BD3997"/>
    <w:rsid w:val="00BD5D7E"/>
    <w:rsid w:val="00BD6EF9"/>
    <w:rsid w:val="00BD754C"/>
    <w:rsid w:val="00BD764C"/>
    <w:rsid w:val="00BD78C6"/>
    <w:rsid w:val="00BE01E1"/>
    <w:rsid w:val="00BE07A5"/>
    <w:rsid w:val="00BE15DA"/>
    <w:rsid w:val="00BE19AD"/>
    <w:rsid w:val="00BE369C"/>
    <w:rsid w:val="00BE4FBC"/>
    <w:rsid w:val="00BE5B7C"/>
    <w:rsid w:val="00BE6DBE"/>
    <w:rsid w:val="00BE72FD"/>
    <w:rsid w:val="00BE733C"/>
    <w:rsid w:val="00BE73D4"/>
    <w:rsid w:val="00BE7AF2"/>
    <w:rsid w:val="00BF1EF8"/>
    <w:rsid w:val="00BF25A9"/>
    <w:rsid w:val="00BF2DE5"/>
    <w:rsid w:val="00BF4429"/>
    <w:rsid w:val="00BF4C49"/>
    <w:rsid w:val="00BF4D1A"/>
    <w:rsid w:val="00BF5168"/>
    <w:rsid w:val="00BF51C9"/>
    <w:rsid w:val="00BF5A5B"/>
    <w:rsid w:val="00BF6338"/>
    <w:rsid w:val="00BF6D56"/>
    <w:rsid w:val="00BF7EB2"/>
    <w:rsid w:val="00C00D03"/>
    <w:rsid w:val="00C00D9C"/>
    <w:rsid w:val="00C01DFC"/>
    <w:rsid w:val="00C0270E"/>
    <w:rsid w:val="00C0282B"/>
    <w:rsid w:val="00C03262"/>
    <w:rsid w:val="00C047A4"/>
    <w:rsid w:val="00C05013"/>
    <w:rsid w:val="00C067E0"/>
    <w:rsid w:val="00C0773D"/>
    <w:rsid w:val="00C1025D"/>
    <w:rsid w:val="00C11733"/>
    <w:rsid w:val="00C12CC1"/>
    <w:rsid w:val="00C12D93"/>
    <w:rsid w:val="00C12EE2"/>
    <w:rsid w:val="00C12EE5"/>
    <w:rsid w:val="00C1324B"/>
    <w:rsid w:val="00C1345F"/>
    <w:rsid w:val="00C139DE"/>
    <w:rsid w:val="00C13B55"/>
    <w:rsid w:val="00C13CB8"/>
    <w:rsid w:val="00C151CE"/>
    <w:rsid w:val="00C1561B"/>
    <w:rsid w:val="00C15BBB"/>
    <w:rsid w:val="00C16087"/>
    <w:rsid w:val="00C2092E"/>
    <w:rsid w:val="00C20F37"/>
    <w:rsid w:val="00C213FD"/>
    <w:rsid w:val="00C21C42"/>
    <w:rsid w:val="00C23520"/>
    <w:rsid w:val="00C24AE3"/>
    <w:rsid w:val="00C25082"/>
    <w:rsid w:val="00C2570A"/>
    <w:rsid w:val="00C265D4"/>
    <w:rsid w:val="00C26DC6"/>
    <w:rsid w:val="00C27447"/>
    <w:rsid w:val="00C275FC"/>
    <w:rsid w:val="00C30615"/>
    <w:rsid w:val="00C30715"/>
    <w:rsid w:val="00C30D84"/>
    <w:rsid w:val="00C3131B"/>
    <w:rsid w:val="00C317A7"/>
    <w:rsid w:val="00C33614"/>
    <w:rsid w:val="00C33AEC"/>
    <w:rsid w:val="00C357CB"/>
    <w:rsid w:val="00C35C8E"/>
    <w:rsid w:val="00C36B1D"/>
    <w:rsid w:val="00C3742C"/>
    <w:rsid w:val="00C410D2"/>
    <w:rsid w:val="00C41363"/>
    <w:rsid w:val="00C42A78"/>
    <w:rsid w:val="00C437D6"/>
    <w:rsid w:val="00C45C94"/>
    <w:rsid w:val="00C4601D"/>
    <w:rsid w:val="00C46612"/>
    <w:rsid w:val="00C509D2"/>
    <w:rsid w:val="00C51CCA"/>
    <w:rsid w:val="00C523ED"/>
    <w:rsid w:val="00C53131"/>
    <w:rsid w:val="00C54473"/>
    <w:rsid w:val="00C54789"/>
    <w:rsid w:val="00C55945"/>
    <w:rsid w:val="00C55D94"/>
    <w:rsid w:val="00C55DCB"/>
    <w:rsid w:val="00C55FBB"/>
    <w:rsid w:val="00C57582"/>
    <w:rsid w:val="00C608EF"/>
    <w:rsid w:val="00C60D60"/>
    <w:rsid w:val="00C612BB"/>
    <w:rsid w:val="00C612BF"/>
    <w:rsid w:val="00C61338"/>
    <w:rsid w:val="00C6207E"/>
    <w:rsid w:val="00C6324D"/>
    <w:rsid w:val="00C64FAE"/>
    <w:rsid w:val="00C66344"/>
    <w:rsid w:val="00C66EDC"/>
    <w:rsid w:val="00C674F7"/>
    <w:rsid w:val="00C67D05"/>
    <w:rsid w:val="00C714EE"/>
    <w:rsid w:val="00C731E1"/>
    <w:rsid w:val="00C73883"/>
    <w:rsid w:val="00C7443F"/>
    <w:rsid w:val="00C745D7"/>
    <w:rsid w:val="00C7702A"/>
    <w:rsid w:val="00C7732F"/>
    <w:rsid w:val="00C773C8"/>
    <w:rsid w:val="00C80A25"/>
    <w:rsid w:val="00C80E5E"/>
    <w:rsid w:val="00C82930"/>
    <w:rsid w:val="00C82C9E"/>
    <w:rsid w:val="00C841BF"/>
    <w:rsid w:val="00C84F61"/>
    <w:rsid w:val="00C8531E"/>
    <w:rsid w:val="00C85560"/>
    <w:rsid w:val="00C85A3E"/>
    <w:rsid w:val="00C85A50"/>
    <w:rsid w:val="00C85B6C"/>
    <w:rsid w:val="00C85ECE"/>
    <w:rsid w:val="00C86BFE"/>
    <w:rsid w:val="00C86D8A"/>
    <w:rsid w:val="00C86FF3"/>
    <w:rsid w:val="00C87E2F"/>
    <w:rsid w:val="00C900B0"/>
    <w:rsid w:val="00C9080B"/>
    <w:rsid w:val="00C90EA7"/>
    <w:rsid w:val="00C90EF9"/>
    <w:rsid w:val="00C9146C"/>
    <w:rsid w:val="00C91711"/>
    <w:rsid w:val="00C91A95"/>
    <w:rsid w:val="00C92931"/>
    <w:rsid w:val="00C92949"/>
    <w:rsid w:val="00C9312F"/>
    <w:rsid w:val="00C94499"/>
    <w:rsid w:val="00C9491A"/>
    <w:rsid w:val="00C94BE9"/>
    <w:rsid w:val="00C95DD7"/>
    <w:rsid w:val="00C95ED6"/>
    <w:rsid w:val="00C96BBB"/>
    <w:rsid w:val="00CA04D5"/>
    <w:rsid w:val="00CA1AC8"/>
    <w:rsid w:val="00CA1FB0"/>
    <w:rsid w:val="00CA24D1"/>
    <w:rsid w:val="00CA2AD9"/>
    <w:rsid w:val="00CA39CC"/>
    <w:rsid w:val="00CA3C11"/>
    <w:rsid w:val="00CA403D"/>
    <w:rsid w:val="00CA4743"/>
    <w:rsid w:val="00CA57FE"/>
    <w:rsid w:val="00CA5FF6"/>
    <w:rsid w:val="00CA6F32"/>
    <w:rsid w:val="00CA735E"/>
    <w:rsid w:val="00CB01B1"/>
    <w:rsid w:val="00CB138F"/>
    <w:rsid w:val="00CB13CF"/>
    <w:rsid w:val="00CB13E0"/>
    <w:rsid w:val="00CB2282"/>
    <w:rsid w:val="00CB2F02"/>
    <w:rsid w:val="00CB44CC"/>
    <w:rsid w:val="00CB4522"/>
    <w:rsid w:val="00CB76B8"/>
    <w:rsid w:val="00CB7703"/>
    <w:rsid w:val="00CB77EE"/>
    <w:rsid w:val="00CB783B"/>
    <w:rsid w:val="00CB7AE2"/>
    <w:rsid w:val="00CC1C1E"/>
    <w:rsid w:val="00CC2611"/>
    <w:rsid w:val="00CC2803"/>
    <w:rsid w:val="00CC295E"/>
    <w:rsid w:val="00CC48D6"/>
    <w:rsid w:val="00CC4B7F"/>
    <w:rsid w:val="00CC544C"/>
    <w:rsid w:val="00CC559E"/>
    <w:rsid w:val="00CC707F"/>
    <w:rsid w:val="00CC708A"/>
    <w:rsid w:val="00CC79CD"/>
    <w:rsid w:val="00CD0365"/>
    <w:rsid w:val="00CD1447"/>
    <w:rsid w:val="00CD1841"/>
    <w:rsid w:val="00CD1BF1"/>
    <w:rsid w:val="00CD1D2E"/>
    <w:rsid w:val="00CD27CD"/>
    <w:rsid w:val="00CD4BF8"/>
    <w:rsid w:val="00CD52CD"/>
    <w:rsid w:val="00CD652E"/>
    <w:rsid w:val="00CD6828"/>
    <w:rsid w:val="00CD685C"/>
    <w:rsid w:val="00CD68DD"/>
    <w:rsid w:val="00CD7B8B"/>
    <w:rsid w:val="00CE01F8"/>
    <w:rsid w:val="00CE0D43"/>
    <w:rsid w:val="00CE24B9"/>
    <w:rsid w:val="00CE2B04"/>
    <w:rsid w:val="00CE3E8B"/>
    <w:rsid w:val="00CE47DC"/>
    <w:rsid w:val="00CE5298"/>
    <w:rsid w:val="00CE5322"/>
    <w:rsid w:val="00CE58EB"/>
    <w:rsid w:val="00CE6939"/>
    <w:rsid w:val="00CE705F"/>
    <w:rsid w:val="00CE745E"/>
    <w:rsid w:val="00CF0041"/>
    <w:rsid w:val="00CF0D4B"/>
    <w:rsid w:val="00CF2605"/>
    <w:rsid w:val="00CF2804"/>
    <w:rsid w:val="00CF35B2"/>
    <w:rsid w:val="00CF36C4"/>
    <w:rsid w:val="00CF38D4"/>
    <w:rsid w:val="00CF5C07"/>
    <w:rsid w:val="00CF5CFC"/>
    <w:rsid w:val="00D00272"/>
    <w:rsid w:val="00D00AF5"/>
    <w:rsid w:val="00D00E75"/>
    <w:rsid w:val="00D00EE2"/>
    <w:rsid w:val="00D01917"/>
    <w:rsid w:val="00D01EBC"/>
    <w:rsid w:val="00D036AC"/>
    <w:rsid w:val="00D03DE1"/>
    <w:rsid w:val="00D03EDD"/>
    <w:rsid w:val="00D03EEF"/>
    <w:rsid w:val="00D04F08"/>
    <w:rsid w:val="00D050BB"/>
    <w:rsid w:val="00D07010"/>
    <w:rsid w:val="00D07087"/>
    <w:rsid w:val="00D07A1B"/>
    <w:rsid w:val="00D07E2A"/>
    <w:rsid w:val="00D11666"/>
    <w:rsid w:val="00D11D07"/>
    <w:rsid w:val="00D138F2"/>
    <w:rsid w:val="00D1489F"/>
    <w:rsid w:val="00D159F8"/>
    <w:rsid w:val="00D15DD2"/>
    <w:rsid w:val="00D16E55"/>
    <w:rsid w:val="00D16ECF"/>
    <w:rsid w:val="00D17564"/>
    <w:rsid w:val="00D17C04"/>
    <w:rsid w:val="00D17CFB"/>
    <w:rsid w:val="00D17E3E"/>
    <w:rsid w:val="00D2046D"/>
    <w:rsid w:val="00D21820"/>
    <w:rsid w:val="00D2255E"/>
    <w:rsid w:val="00D226B9"/>
    <w:rsid w:val="00D23437"/>
    <w:rsid w:val="00D2372E"/>
    <w:rsid w:val="00D2373E"/>
    <w:rsid w:val="00D239F4"/>
    <w:rsid w:val="00D2459A"/>
    <w:rsid w:val="00D248D9"/>
    <w:rsid w:val="00D24CD7"/>
    <w:rsid w:val="00D25DF4"/>
    <w:rsid w:val="00D27131"/>
    <w:rsid w:val="00D31AD0"/>
    <w:rsid w:val="00D31BBD"/>
    <w:rsid w:val="00D34305"/>
    <w:rsid w:val="00D34E83"/>
    <w:rsid w:val="00D35189"/>
    <w:rsid w:val="00D352D0"/>
    <w:rsid w:val="00D37354"/>
    <w:rsid w:val="00D404B1"/>
    <w:rsid w:val="00D4104F"/>
    <w:rsid w:val="00D43988"/>
    <w:rsid w:val="00D4707E"/>
    <w:rsid w:val="00D47238"/>
    <w:rsid w:val="00D4762C"/>
    <w:rsid w:val="00D47867"/>
    <w:rsid w:val="00D47B4E"/>
    <w:rsid w:val="00D47EAF"/>
    <w:rsid w:val="00D50B2A"/>
    <w:rsid w:val="00D51517"/>
    <w:rsid w:val="00D52D4A"/>
    <w:rsid w:val="00D52D7F"/>
    <w:rsid w:val="00D53034"/>
    <w:rsid w:val="00D538B0"/>
    <w:rsid w:val="00D541A8"/>
    <w:rsid w:val="00D55A05"/>
    <w:rsid w:val="00D562A8"/>
    <w:rsid w:val="00D61A9F"/>
    <w:rsid w:val="00D61EDD"/>
    <w:rsid w:val="00D628AF"/>
    <w:rsid w:val="00D6294B"/>
    <w:rsid w:val="00D654F8"/>
    <w:rsid w:val="00D66697"/>
    <w:rsid w:val="00D676B3"/>
    <w:rsid w:val="00D6787A"/>
    <w:rsid w:val="00D67ACA"/>
    <w:rsid w:val="00D67F69"/>
    <w:rsid w:val="00D71103"/>
    <w:rsid w:val="00D71213"/>
    <w:rsid w:val="00D713E4"/>
    <w:rsid w:val="00D72FAD"/>
    <w:rsid w:val="00D7314F"/>
    <w:rsid w:val="00D73259"/>
    <w:rsid w:val="00D732D3"/>
    <w:rsid w:val="00D73678"/>
    <w:rsid w:val="00D73AF1"/>
    <w:rsid w:val="00D73E64"/>
    <w:rsid w:val="00D74504"/>
    <w:rsid w:val="00D74639"/>
    <w:rsid w:val="00D74926"/>
    <w:rsid w:val="00D75407"/>
    <w:rsid w:val="00D75449"/>
    <w:rsid w:val="00D7563E"/>
    <w:rsid w:val="00D76E21"/>
    <w:rsid w:val="00D770D5"/>
    <w:rsid w:val="00D809B7"/>
    <w:rsid w:val="00D812A9"/>
    <w:rsid w:val="00D813B0"/>
    <w:rsid w:val="00D8141C"/>
    <w:rsid w:val="00D81A57"/>
    <w:rsid w:val="00D81A98"/>
    <w:rsid w:val="00D8269A"/>
    <w:rsid w:val="00D82962"/>
    <w:rsid w:val="00D82A4C"/>
    <w:rsid w:val="00D830B5"/>
    <w:rsid w:val="00D83A65"/>
    <w:rsid w:val="00D846CF"/>
    <w:rsid w:val="00D84999"/>
    <w:rsid w:val="00D85683"/>
    <w:rsid w:val="00D86D21"/>
    <w:rsid w:val="00D8772B"/>
    <w:rsid w:val="00D9031D"/>
    <w:rsid w:val="00D90824"/>
    <w:rsid w:val="00D90F8A"/>
    <w:rsid w:val="00D91621"/>
    <w:rsid w:val="00D9180B"/>
    <w:rsid w:val="00D925BC"/>
    <w:rsid w:val="00D9323B"/>
    <w:rsid w:val="00D94EB6"/>
    <w:rsid w:val="00D95111"/>
    <w:rsid w:val="00D954B6"/>
    <w:rsid w:val="00D9553A"/>
    <w:rsid w:val="00D958D2"/>
    <w:rsid w:val="00D95C5C"/>
    <w:rsid w:val="00D96B91"/>
    <w:rsid w:val="00D9740F"/>
    <w:rsid w:val="00D97545"/>
    <w:rsid w:val="00D9787B"/>
    <w:rsid w:val="00D97BA1"/>
    <w:rsid w:val="00DA09FC"/>
    <w:rsid w:val="00DA0A19"/>
    <w:rsid w:val="00DA16AA"/>
    <w:rsid w:val="00DA28A7"/>
    <w:rsid w:val="00DA2BB0"/>
    <w:rsid w:val="00DA2FCA"/>
    <w:rsid w:val="00DA348E"/>
    <w:rsid w:val="00DA373A"/>
    <w:rsid w:val="00DA4A4E"/>
    <w:rsid w:val="00DA59D2"/>
    <w:rsid w:val="00DA5A9C"/>
    <w:rsid w:val="00DA5F60"/>
    <w:rsid w:val="00DA6E9D"/>
    <w:rsid w:val="00DA6FF3"/>
    <w:rsid w:val="00DB0066"/>
    <w:rsid w:val="00DB0F33"/>
    <w:rsid w:val="00DB1595"/>
    <w:rsid w:val="00DB297D"/>
    <w:rsid w:val="00DB2B7E"/>
    <w:rsid w:val="00DB2BA7"/>
    <w:rsid w:val="00DB2F6C"/>
    <w:rsid w:val="00DB345D"/>
    <w:rsid w:val="00DB5719"/>
    <w:rsid w:val="00DB624E"/>
    <w:rsid w:val="00DB65FF"/>
    <w:rsid w:val="00DB7C6B"/>
    <w:rsid w:val="00DC02EA"/>
    <w:rsid w:val="00DC1309"/>
    <w:rsid w:val="00DC16F9"/>
    <w:rsid w:val="00DC1CA6"/>
    <w:rsid w:val="00DC20CF"/>
    <w:rsid w:val="00DC3472"/>
    <w:rsid w:val="00DC4B44"/>
    <w:rsid w:val="00DC5C38"/>
    <w:rsid w:val="00DC61A3"/>
    <w:rsid w:val="00DC76E7"/>
    <w:rsid w:val="00DC7E69"/>
    <w:rsid w:val="00DD0467"/>
    <w:rsid w:val="00DD15EF"/>
    <w:rsid w:val="00DD1738"/>
    <w:rsid w:val="00DD190E"/>
    <w:rsid w:val="00DD3316"/>
    <w:rsid w:val="00DD3E02"/>
    <w:rsid w:val="00DD45AF"/>
    <w:rsid w:val="00DD5654"/>
    <w:rsid w:val="00DD5E57"/>
    <w:rsid w:val="00DD60E3"/>
    <w:rsid w:val="00DD7F9B"/>
    <w:rsid w:val="00DE1C74"/>
    <w:rsid w:val="00DE1CCF"/>
    <w:rsid w:val="00DE3385"/>
    <w:rsid w:val="00DE3CA1"/>
    <w:rsid w:val="00DE4007"/>
    <w:rsid w:val="00DE4053"/>
    <w:rsid w:val="00DE4638"/>
    <w:rsid w:val="00DE4651"/>
    <w:rsid w:val="00DE4FEE"/>
    <w:rsid w:val="00DE534A"/>
    <w:rsid w:val="00DE55FD"/>
    <w:rsid w:val="00DE60A8"/>
    <w:rsid w:val="00DE7265"/>
    <w:rsid w:val="00DE7525"/>
    <w:rsid w:val="00DE7C1C"/>
    <w:rsid w:val="00DF0111"/>
    <w:rsid w:val="00DF01E6"/>
    <w:rsid w:val="00DF14DF"/>
    <w:rsid w:val="00DF2247"/>
    <w:rsid w:val="00DF2353"/>
    <w:rsid w:val="00DF3AB2"/>
    <w:rsid w:val="00DF4116"/>
    <w:rsid w:val="00DF5129"/>
    <w:rsid w:val="00DF5784"/>
    <w:rsid w:val="00DF58B8"/>
    <w:rsid w:val="00DF5FF8"/>
    <w:rsid w:val="00DF6EE5"/>
    <w:rsid w:val="00DF7E7E"/>
    <w:rsid w:val="00E0077B"/>
    <w:rsid w:val="00E00898"/>
    <w:rsid w:val="00E03634"/>
    <w:rsid w:val="00E050B6"/>
    <w:rsid w:val="00E0557E"/>
    <w:rsid w:val="00E05980"/>
    <w:rsid w:val="00E05D14"/>
    <w:rsid w:val="00E0628E"/>
    <w:rsid w:val="00E06460"/>
    <w:rsid w:val="00E073CF"/>
    <w:rsid w:val="00E07997"/>
    <w:rsid w:val="00E07A6A"/>
    <w:rsid w:val="00E07EB8"/>
    <w:rsid w:val="00E107B2"/>
    <w:rsid w:val="00E10EB1"/>
    <w:rsid w:val="00E114CF"/>
    <w:rsid w:val="00E120E4"/>
    <w:rsid w:val="00E13636"/>
    <w:rsid w:val="00E149F4"/>
    <w:rsid w:val="00E14A90"/>
    <w:rsid w:val="00E17F53"/>
    <w:rsid w:val="00E20354"/>
    <w:rsid w:val="00E207DB"/>
    <w:rsid w:val="00E20BB5"/>
    <w:rsid w:val="00E21F5A"/>
    <w:rsid w:val="00E221D8"/>
    <w:rsid w:val="00E234F1"/>
    <w:rsid w:val="00E23ACB"/>
    <w:rsid w:val="00E23BDA"/>
    <w:rsid w:val="00E25124"/>
    <w:rsid w:val="00E261F8"/>
    <w:rsid w:val="00E26E25"/>
    <w:rsid w:val="00E27DF3"/>
    <w:rsid w:val="00E3110A"/>
    <w:rsid w:val="00E319DC"/>
    <w:rsid w:val="00E324AD"/>
    <w:rsid w:val="00E3342D"/>
    <w:rsid w:val="00E33683"/>
    <w:rsid w:val="00E33734"/>
    <w:rsid w:val="00E33F82"/>
    <w:rsid w:val="00E34AA9"/>
    <w:rsid w:val="00E36A4F"/>
    <w:rsid w:val="00E376C4"/>
    <w:rsid w:val="00E37D5F"/>
    <w:rsid w:val="00E429A0"/>
    <w:rsid w:val="00E42D39"/>
    <w:rsid w:val="00E44CD4"/>
    <w:rsid w:val="00E45B91"/>
    <w:rsid w:val="00E46804"/>
    <w:rsid w:val="00E46C57"/>
    <w:rsid w:val="00E513EE"/>
    <w:rsid w:val="00E5176B"/>
    <w:rsid w:val="00E527C9"/>
    <w:rsid w:val="00E528BA"/>
    <w:rsid w:val="00E52A91"/>
    <w:rsid w:val="00E53497"/>
    <w:rsid w:val="00E534DF"/>
    <w:rsid w:val="00E55A50"/>
    <w:rsid w:val="00E565C2"/>
    <w:rsid w:val="00E56C9D"/>
    <w:rsid w:val="00E5723E"/>
    <w:rsid w:val="00E57362"/>
    <w:rsid w:val="00E60269"/>
    <w:rsid w:val="00E60887"/>
    <w:rsid w:val="00E60C32"/>
    <w:rsid w:val="00E61619"/>
    <w:rsid w:val="00E61E25"/>
    <w:rsid w:val="00E6272B"/>
    <w:rsid w:val="00E627F6"/>
    <w:rsid w:val="00E62F1A"/>
    <w:rsid w:val="00E63F1D"/>
    <w:rsid w:val="00E646D5"/>
    <w:rsid w:val="00E64BB7"/>
    <w:rsid w:val="00E64EEE"/>
    <w:rsid w:val="00E66F49"/>
    <w:rsid w:val="00E721A9"/>
    <w:rsid w:val="00E73549"/>
    <w:rsid w:val="00E7484F"/>
    <w:rsid w:val="00E74861"/>
    <w:rsid w:val="00E74B50"/>
    <w:rsid w:val="00E74EC9"/>
    <w:rsid w:val="00E75572"/>
    <w:rsid w:val="00E75733"/>
    <w:rsid w:val="00E75A9D"/>
    <w:rsid w:val="00E77754"/>
    <w:rsid w:val="00E80CF7"/>
    <w:rsid w:val="00E80FB4"/>
    <w:rsid w:val="00E81B8E"/>
    <w:rsid w:val="00E81ED7"/>
    <w:rsid w:val="00E8369B"/>
    <w:rsid w:val="00E8377F"/>
    <w:rsid w:val="00E83850"/>
    <w:rsid w:val="00E85244"/>
    <w:rsid w:val="00E85A96"/>
    <w:rsid w:val="00E86159"/>
    <w:rsid w:val="00E86741"/>
    <w:rsid w:val="00E87AE4"/>
    <w:rsid w:val="00E90A5A"/>
    <w:rsid w:val="00E90C1F"/>
    <w:rsid w:val="00E9124A"/>
    <w:rsid w:val="00E9222C"/>
    <w:rsid w:val="00E9296D"/>
    <w:rsid w:val="00E92AA5"/>
    <w:rsid w:val="00E94509"/>
    <w:rsid w:val="00E94A0D"/>
    <w:rsid w:val="00E9558B"/>
    <w:rsid w:val="00E95A44"/>
    <w:rsid w:val="00E95D1B"/>
    <w:rsid w:val="00E969A4"/>
    <w:rsid w:val="00E9735C"/>
    <w:rsid w:val="00EA0266"/>
    <w:rsid w:val="00EA234B"/>
    <w:rsid w:val="00EA274B"/>
    <w:rsid w:val="00EA2EFA"/>
    <w:rsid w:val="00EA3184"/>
    <w:rsid w:val="00EA3732"/>
    <w:rsid w:val="00EA3794"/>
    <w:rsid w:val="00EA3CDD"/>
    <w:rsid w:val="00EA4124"/>
    <w:rsid w:val="00EA42EB"/>
    <w:rsid w:val="00EA5028"/>
    <w:rsid w:val="00EA50D6"/>
    <w:rsid w:val="00EA5714"/>
    <w:rsid w:val="00EA5E70"/>
    <w:rsid w:val="00EA60EF"/>
    <w:rsid w:val="00EA6A30"/>
    <w:rsid w:val="00EA6A41"/>
    <w:rsid w:val="00EA7662"/>
    <w:rsid w:val="00EA7CC3"/>
    <w:rsid w:val="00EB016F"/>
    <w:rsid w:val="00EB04F4"/>
    <w:rsid w:val="00EB05E3"/>
    <w:rsid w:val="00EB212C"/>
    <w:rsid w:val="00EB2216"/>
    <w:rsid w:val="00EB27D1"/>
    <w:rsid w:val="00EB33F4"/>
    <w:rsid w:val="00EB3B9C"/>
    <w:rsid w:val="00EB40E0"/>
    <w:rsid w:val="00EB4C04"/>
    <w:rsid w:val="00EB6502"/>
    <w:rsid w:val="00EB7D9C"/>
    <w:rsid w:val="00EC01F0"/>
    <w:rsid w:val="00EC1406"/>
    <w:rsid w:val="00EC1526"/>
    <w:rsid w:val="00EC23F3"/>
    <w:rsid w:val="00EC2677"/>
    <w:rsid w:val="00EC2AB5"/>
    <w:rsid w:val="00EC36F2"/>
    <w:rsid w:val="00EC4B79"/>
    <w:rsid w:val="00EC4F33"/>
    <w:rsid w:val="00EC7E82"/>
    <w:rsid w:val="00ED0B81"/>
    <w:rsid w:val="00ED19B3"/>
    <w:rsid w:val="00ED1A64"/>
    <w:rsid w:val="00ED28DD"/>
    <w:rsid w:val="00ED421C"/>
    <w:rsid w:val="00ED43A6"/>
    <w:rsid w:val="00ED4E89"/>
    <w:rsid w:val="00ED502A"/>
    <w:rsid w:val="00ED69B3"/>
    <w:rsid w:val="00ED6AF3"/>
    <w:rsid w:val="00ED6FB9"/>
    <w:rsid w:val="00ED7371"/>
    <w:rsid w:val="00ED7E2F"/>
    <w:rsid w:val="00ED7EA8"/>
    <w:rsid w:val="00EE1162"/>
    <w:rsid w:val="00EE1313"/>
    <w:rsid w:val="00EE2126"/>
    <w:rsid w:val="00EE3363"/>
    <w:rsid w:val="00EE3725"/>
    <w:rsid w:val="00EE3F3C"/>
    <w:rsid w:val="00EE4C7E"/>
    <w:rsid w:val="00EE556D"/>
    <w:rsid w:val="00EE60A2"/>
    <w:rsid w:val="00EE6184"/>
    <w:rsid w:val="00EE679C"/>
    <w:rsid w:val="00EE686B"/>
    <w:rsid w:val="00EE7596"/>
    <w:rsid w:val="00EE7A2C"/>
    <w:rsid w:val="00EF06D3"/>
    <w:rsid w:val="00EF09D3"/>
    <w:rsid w:val="00EF108A"/>
    <w:rsid w:val="00EF1240"/>
    <w:rsid w:val="00EF1F75"/>
    <w:rsid w:val="00EF2240"/>
    <w:rsid w:val="00EF297A"/>
    <w:rsid w:val="00EF3069"/>
    <w:rsid w:val="00EF31A5"/>
    <w:rsid w:val="00EF3742"/>
    <w:rsid w:val="00EF3EB5"/>
    <w:rsid w:val="00EF57B9"/>
    <w:rsid w:val="00EF57DF"/>
    <w:rsid w:val="00EF632B"/>
    <w:rsid w:val="00EF6556"/>
    <w:rsid w:val="00EF689A"/>
    <w:rsid w:val="00F02BAD"/>
    <w:rsid w:val="00F0319D"/>
    <w:rsid w:val="00F07890"/>
    <w:rsid w:val="00F07A4C"/>
    <w:rsid w:val="00F07B03"/>
    <w:rsid w:val="00F115A2"/>
    <w:rsid w:val="00F11635"/>
    <w:rsid w:val="00F11928"/>
    <w:rsid w:val="00F12D86"/>
    <w:rsid w:val="00F131AA"/>
    <w:rsid w:val="00F131FD"/>
    <w:rsid w:val="00F1350B"/>
    <w:rsid w:val="00F13B05"/>
    <w:rsid w:val="00F13B5A"/>
    <w:rsid w:val="00F13EED"/>
    <w:rsid w:val="00F15AF2"/>
    <w:rsid w:val="00F21290"/>
    <w:rsid w:val="00F2299F"/>
    <w:rsid w:val="00F231F0"/>
    <w:rsid w:val="00F24787"/>
    <w:rsid w:val="00F25311"/>
    <w:rsid w:val="00F259A5"/>
    <w:rsid w:val="00F263E5"/>
    <w:rsid w:val="00F301E0"/>
    <w:rsid w:val="00F307CC"/>
    <w:rsid w:val="00F30BBA"/>
    <w:rsid w:val="00F31630"/>
    <w:rsid w:val="00F31A8F"/>
    <w:rsid w:val="00F320C0"/>
    <w:rsid w:val="00F32D63"/>
    <w:rsid w:val="00F33C8D"/>
    <w:rsid w:val="00F34012"/>
    <w:rsid w:val="00F343A3"/>
    <w:rsid w:val="00F34C99"/>
    <w:rsid w:val="00F3531A"/>
    <w:rsid w:val="00F353E8"/>
    <w:rsid w:val="00F35AB2"/>
    <w:rsid w:val="00F400FB"/>
    <w:rsid w:val="00F41DB0"/>
    <w:rsid w:val="00F43631"/>
    <w:rsid w:val="00F43947"/>
    <w:rsid w:val="00F439BB"/>
    <w:rsid w:val="00F43CEB"/>
    <w:rsid w:val="00F449D7"/>
    <w:rsid w:val="00F460C4"/>
    <w:rsid w:val="00F461AE"/>
    <w:rsid w:val="00F467F9"/>
    <w:rsid w:val="00F47426"/>
    <w:rsid w:val="00F50D6C"/>
    <w:rsid w:val="00F5184D"/>
    <w:rsid w:val="00F51B88"/>
    <w:rsid w:val="00F51CB2"/>
    <w:rsid w:val="00F534D3"/>
    <w:rsid w:val="00F5421D"/>
    <w:rsid w:val="00F55022"/>
    <w:rsid w:val="00F55184"/>
    <w:rsid w:val="00F5704A"/>
    <w:rsid w:val="00F60DF3"/>
    <w:rsid w:val="00F62057"/>
    <w:rsid w:val="00F62597"/>
    <w:rsid w:val="00F6264B"/>
    <w:rsid w:val="00F6290C"/>
    <w:rsid w:val="00F646C8"/>
    <w:rsid w:val="00F67988"/>
    <w:rsid w:val="00F67C01"/>
    <w:rsid w:val="00F70909"/>
    <w:rsid w:val="00F7114B"/>
    <w:rsid w:val="00F721EF"/>
    <w:rsid w:val="00F72AC2"/>
    <w:rsid w:val="00F72F17"/>
    <w:rsid w:val="00F73429"/>
    <w:rsid w:val="00F74168"/>
    <w:rsid w:val="00F742F1"/>
    <w:rsid w:val="00F7470C"/>
    <w:rsid w:val="00F74942"/>
    <w:rsid w:val="00F7534A"/>
    <w:rsid w:val="00F76037"/>
    <w:rsid w:val="00F761E0"/>
    <w:rsid w:val="00F76832"/>
    <w:rsid w:val="00F76B53"/>
    <w:rsid w:val="00F76DA6"/>
    <w:rsid w:val="00F7761D"/>
    <w:rsid w:val="00F77724"/>
    <w:rsid w:val="00F77839"/>
    <w:rsid w:val="00F77AF3"/>
    <w:rsid w:val="00F77CE6"/>
    <w:rsid w:val="00F77DD1"/>
    <w:rsid w:val="00F8023F"/>
    <w:rsid w:val="00F8032A"/>
    <w:rsid w:val="00F81A48"/>
    <w:rsid w:val="00F82021"/>
    <w:rsid w:val="00F82080"/>
    <w:rsid w:val="00F82A7B"/>
    <w:rsid w:val="00F8476C"/>
    <w:rsid w:val="00F850A1"/>
    <w:rsid w:val="00F85CBD"/>
    <w:rsid w:val="00F87810"/>
    <w:rsid w:val="00F905B8"/>
    <w:rsid w:val="00F91164"/>
    <w:rsid w:val="00F91292"/>
    <w:rsid w:val="00F91D47"/>
    <w:rsid w:val="00F92B0F"/>
    <w:rsid w:val="00F9354E"/>
    <w:rsid w:val="00F941FC"/>
    <w:rsid w:val="00F96D24"/>
    <w:rsid w:val="00F97093"/>
    <w:rsid w:val="00F97FF3"/>
    <w:rsid w:val="00FA0091"/>
    <w:rsid w:val="00FA1AA9"/>
    <w:rsid w:val="00FA2C8B"/>
    <w:rsid w:val="00FA3E0C"/>
    <w:rsid w:val="00FA4DBA"/>
    <w:rsid w:val="00FA4FBA"/>
    <w:rsid w:val="00FA5580"/>
    <w:rsid w:val="00FA655A"/>
    <w:rsid w:val="00FA69C3"/>
    <w:rsid w:val="00FA6AAC"/>
    <w:rsid w:val="00FA6CBC"/>
    <w:rsid w:val="00FA6D48"/>
    <w:rsid w:val="00FA7027"/>
    <w:rsid w:val="00FA7775"/>
    <w:rsid w:val="00FA7EC0"/>
    <w:rsid w:val="00FB1729"/>
    <w:rsid w:val="00FB30A2"/>
    <w:rsid w:val="00FB4993"/>
    <w:rsid w:val="00FC072E"/>
    <w:rsid w:val="00FC1364"/>
    <w:rsid w:val="00FC4323"/>
    <w:rsid w:val="00FC51AE"/>
    <w:rsid w:val="00FC550A"/>
    <w:rsid w:val="00FC551E"/>
    <w:rsid w:val="00FC5790"/>
    <w:rsid w:val="00FC6275"/>
    <w:rsid w:val="00FD039F"/>
    <w:rsid w:val="00FD053B"/>
    <w:rsid w:val="00FD0910"/>
    <w:rsid w:val="00FD0A92"/>
    <w:rsid w:val="00FD0AF0"/>
    <w:rsid w:val="00FD1234"/>
    <w:rsid w:val="00FD18F3"/>
    <w:rsid w:val="00FD194F"/>
    <w:rsid w:val="00FD1995"/>
    <w:rsid w:val="00FD2333"/>
    <w:rsid w:val="00FD25E1"/>
    <w:rsid w:val="00FD4A75"/>
    <w:rsid w:val="00FD54E6"/>
    <w:rsid w:val="00FD5688"/>
    <w:rsid w:val="00FD5725"/>
    <w:rsid w:val="00FD5E1C"/>
    <w:rsid w:val="00FD5F36"/>
    <w:rsid w:val="00FD6624"/>
    <w:rsid w:val="00FD7F6B"/>
    <w:rsid w:val="00FE0948"/>
    <w:rsid w:val="00FE1880"/>
    <w:rsid w:val="00FE3256"/>
    <w:rsid w:val="00FE3F8E"/>
    <w:rsid w:val="00FE445D"/>
    <w:rsid w:val="00FE47ED"/>
    <w:rsid w:val="00FE5101"/>
    <w:rsid w:val="00FE61DC"/>
    <w:rsid w:val="00FE67D0"/>
    <w:rsid w:val="00FE689B"/>
    <w:rsid w:val="00FE7081"/>
    <w:rsid w:val="00FE79CE"/>
    <w:rsid w:val="00FF06FA"/>
    <w:rsid w:val="00FF081E"/>
    <w:rsid w:val="00FF145C"/>
    <w:rsid w:val="00FF26EE"/>
    <w:rsid w:val="00FF28EC"/>
    <w:rsid w:val="00FF47A3"/>
    <w:rsid w:val="00FF4B3F"/>
    <w:rsid w:val="00FF4B43"/>
    <w:rsid w:val="00FF574F"/>
    <w:rsid w:val="011E42FB"/>
    <w:rsid w:val="012146C6"/>
    <w:rsid w:val="02AE55E9"/>
    <w:rsid w:val="04161FB7"/>
    <w:rsid w:val="044A2980"/>
    <w:rsid w:val="049823E3"/>
    <w:rsid w:val="04A15406"/>
    <w:rsid w:val="04D444F8"/>
    <w:rsid w:val="0523406D"/>
    <w:rsid w:val="05821997"/>
    <w:rsid w:val="06433B97"/>
    <w:rsid w:val="0671705A"/>
    <w:rsid w:val="06C343CF"/>
    <w:rsid w:val="073560E2"/>
    <w:rsid w:val="073A569E"/>
    <w:rsid w:val="077113FA"/>
    <w:rsid w:val="07F41CF0"/>
    <w:rsid w:val="08435AFA"/>
    <w:rsid w:val="086C45DD"/>
    <w:rsid w:val="08D31906"/>
    <w:rsid w:val="090C7C1B"/>
    <w:rsid w:val="0981442D"/>
    <w:rsid w:val="09F91840"/>
    <w:rsid w:val="0A2C5771"/>
    <w:rsid w:val="0A326192"/>
    <w:rsid w:val="0A467A4A"/>
    <w:rsid w:val="0A8455AD"/>
    <w:rsid w:val="0AAF0616"/>
    <w:rsid w:val="0B98466A"/>
    <w:rsid w:val="0C4C5587"/>
    <w:rsid w:val="0C8B0591"/>
    <w:rsid w:val="0CC06645"/>
    <w:rsid w:val="0CC8646F"/>
    <w:rsid w:val="0CCE22D4"/>
    <w:rsid w:val="0D67771E"/>
    <w:rsid w:val="0D7202C7"/>
    <w:rsid w:val="0D8A5D2C"/>
    <w:rsid w:val="0DE76D6C"/>
    <w:rsid w:val="0DF81E83"/>
    <w:rsid w:val="0E1F0FC0"/>
    <w:rsid w:val="0E6A20ED"/>
    <w:rsid w:val="0E6E6F80"/>
    <w:rsid w:val="0E8D3BA4"/>
    <w:rsid w:val="0ECC307F"/>
    <w:rsid w:val="0EDE2DB2"/>
    <w:rsid w:val="0EFA1639"/>
    <w:rsid w:val="0F563291"/>
    <w:rsid w:val="0F6E05DA"/>
    <w:rsid w:val="0FC45554"/>
    <w:rsid w:val="0FF94323"/>
    <w:rsid w:val="102313C5"/>
    <w:rsid w:val="10362DC0"/>
    <w:rsid w:val="108D4A90"/>
    <w:rsid w:val="10A37DA8"/>
    <w:rsid w:val="10DB1C9F"/>
    <w:rsid w:val="11743805"/>
    <w:rsid w:val="11800151"/>
    <w:rsid w:val="11895257"/>
    <w:rsid w:val="12062D4C"/>
    <w:rsid w:val="126B1E01"/>
    <w:rsid w:val="12753A2E"/>
    <w:rsid w:val="1279453E"/>
    <w:rsid w:val="13315A3C"/>
    <w:rsid w:val="13741965"/>
    <w:rsid w:val="139D0596"/>
    <w:rsid w:val="14173562"/>
    <w:rsid w:val="1433085E"/>
    <w:rsid w:val="14C06253"/>
    <w:rsid w:val="14EB57FF"/>
    <w:rsid w:val="15237771"/>
    <w:rsid w:val="15255F09"/>
    <w:rsid w:val="161A1EE6"/>
    <w:rsid w:val="1638440D"/>
    <w:rsid w:val="17017F86"/>
    <w:rsid w:val="1749799E"/>
    <w:rsid w:val="175B1444"/>
    <w:rsid w:val="1813141A"/>
    <w:rsid w:val="18617274"/>
    <w:rsid w:val="18E011B6"/>
    <w:rsid w:val="198E1224"/>
    <w:rsid w:val="1A3D7527"/>
    <w:rsid w:val="1AAD5A01"/>
    <w:rsid w:val="1B2A28B4"/>
    <w:rsid w:val="1B325F2A"/>
    <w:rsid w:val="1C3A306D"/>
    <w:rsid w:val="1C422BD3"/>
    <w:rsid w:val="1C5B4B04"/>
    <w:rsid w:val="1CCC278B"/>
    <w:rsid w:val="1D520EF7"/>
    <w:rsid w:val="1DD77555"/>
    <w:rsid w:val="1E570B9A"/>
    <w:rsid w:val="1EB4015E"/>
    <w:rsid w:val="1EF503D0"/>
    <w:rsid w:val="1F36068E"/>
    <w:rsid w:val="1FB75686"/>
    <w:rsid w:val="20756FC5"/>
    <w:rsid w:val="20A556B0"/>
    <w:rsid w:val="20FC30A3"/>
    <w:rsid w:val="212B4477"/>
    <w:rsid w:val="21360A20"/>
    <w:rsid w:val="21531809"/>
    <w:rsid w:val="2181453C"/>
    <w:rsid w:val="219A1B7F"/>
    <w:rsid w:val="22E83E3E"/>
    <w:rsid w:val="2351149B"/>
    <w:rsid w:val="23610397"/>
    <w:rsid w:val="23AA6A32"/>
    <w:rsid w:val="23FA3D93"/>
    <w:rsid w:val="245430E3"/>
    <w:rsid w:val="246F3D70"/>
    <w:rsid w:val="24990B5E"/>
    <w:rsid w:val="252017F7"/>
    <w:rsid w:val="25F11338"/>
    <w:rsid w:val="26DD2094"/>
    <w:rsid w:val="272A0E33"/>
    <w:rsid w:val="27321A96"/>
    <w:rsid w:val="27FE2461"/>
    <w:rsid w:val="281713B7"/>
    <w:rsid w:val="2826784C"/>
    <w:rsid w:val="286454FC"/>
    <w:rsid w:val="28815E03"/>
    <w:rsid w:val="2889409B"/>
    <w:rsid w:val="28D9666D"/>
    <w:rsid w:val="292510EA"/>
    <w:rsid w:val="2976035F"/>
    <w:rsid w:val="298269C1"/>
    <w:rsid w:val="2A1454C7"/>
    <w:rsid w:val="2A470465"/>
    <w:rsid w:val="2B033371"/>
    <w:rsid w:val="2B0A04E8"/>
    <w:rsid w:val="2B0F196D"/>
    <w:rsid w:val="2B822FEC"/>
    <w:rsid w:val="2BE55328"/>
    <w:rsid w:val="2BE760C7"/>
    <w:rsid w:val="2C240F34"/>
    <w:rsid w:val="2C64115C"/>
    <w:rsid w:val="2CD65E33"/>
    <w:rsid w:val="2D0B54A3"/>
    <w:rsid w:val="2D230138"/>
    <w:rsid w:val="2D314CC9"/>
    <w:rsid w:val="2D774616"/>
    <w:rsid w:val="2D992D0A"/>
    <w:rsid w:val="2DEF248C"/>
    <w:rsid w:val="2E020414"/>
    <w:rsid w:val="2EE214BA"/>
    <w:rsid w:val="2F47747B"/>
    <w:rsid w:val="2F802283"/>
    <w:rsid w:val="2FFD6774"/>
    <w:rsid w:val="300801AF"/>
    <w:rsid w:val="305E681D"/>
    <w:rsid w:val="3063463F"/>
    <w:rsid w:val="30AA08EF"/>
    <w:rsid w:val="316C7C43"/>
    <w:rsid w:val="31770DD7"/>
    <w:rsid w:val="31932DD9"/>
    <w:rsid w:val="31B036D4"/>
    <w:rsid w:val="31CE49BE"/>
    <w:rsid w:val="324B16F5"/>
    <w:rsid w:val="32F70C5D"/>
    <w:rsid w:val="335367F2"/>
    <w:rsid w:val="339935C8"/>
    <w:rsid w:val="33B67A9F"/>
    <w:rsid w:val="33D22321"/>
    <w:rsid w:val="34117602"/>
    <w:rsid w:val="341D5FA7"/>
    <w:rsid w:val="34E60A39"/>
    <w:rsid w:val="3529097C"/>
    <w:rsid w:val="352D221A"/>
    <w:rsid w:val="35551771"/>
    <w:rsid w:val="366455A2"/>
    <w:rsid w:val="36E13DCB"/>
    <w:rsid w:val="37046574"/>
    <w:rsid w:val="37480364"/>
    <w:rsid w:val="38566888"/>
    <w:rsid w:val="387E0FDF"/>
    <w:rsid w:val="38BC4D55"/>
    <w:rsid w:val="392F4087"/>
    <w:rsid w:val="393F47DD"/>
    <w:rsid w:val="39A02314"/>
    <w:rsid w:val="3AAF08D2"/>
    <w:rsid w:val="3ADE3FB6"/>
    <w:rsid w:val="3B4C2CC3"/>
    <w:rsid w:val="3B8E778B"/>
    <w:rsid w:val="3BAE7806"/>
    <w:rsid w:val="3BFA5677"/>
    <w:rsid w:val="3C2B322B"/>
    <w:rsid w:val="3C7518A8"/>
    <w:rsid w:val="3C826BC9"/>
    <w:rsid w:val="3CC87D5B"/>
    <w:rsid w:val="3CDC4B1E"/>
    <w:rsid w:val="3CDF3135"/>
    <w:rsid w:val="3D0B7FB1"/>
    <w:rsid w:val="3D155B50"/>
    <w:rsid w:val="3DA30C46"/>
    <w:rsid w:val="3DBD4357"/>
    <w:rsid w:val="3EA3432C"/>
    <w:rsid w:val="3EBC016B"/>
    <w:rsid w:val="3F042695"/>
    <w:rsid w:val="3FB269C3"/>
    <w:rsid w:val="406F5068"/>
    <w:rsid w:val="407E7DCE"/>
    <w:rsid w:val="40897D99"/>
    <w:rsid w:val="40A9471F"/>
    <w:rsid w:val="40BC6BF1"/>
    <w:rsid w:val="40F46C14"/>
    <w:rsid w:val="410061AC"/>
    <w:rsid w:val="4101205E"/>
    <w:rsid w:val="41571D6E"/>
    <w:rsid w:val="41986C6D"/>
    <w:rsid w:val="43B83A68"/>
    <w:rsid w:val="44644FC2"/>
    <w:rsid w:val="447A6AFE"/>
    <w:rsid w:val="448812AF"/>
    <w:rsid w:val="450D5F12"/>
    <w:rsid w:val="457F1EF2"/>
    <w:rsid w:val="46B3080E"/>
    <w:rsid w:val="46D22A55"/>
    <w:rsid w:val="47150D60"/>
    <w:rsid w:val="479105E1"/>
    <w:rsid w:val="48D43EA7"/>
    <w:rsid w:val="4960080A"/>
    <w:rsid w:val="499C184D"/>
    <w:rsid w:val="4A1530CF"/>
    <w:rsid w:val="4A404346"/>
    <w:rsid w:val="4B502367"/>
    <w:rsid w:val="4BC36708"/>
    <w:rsid w:val="4C2977A6"/>
    <w:rsid w:val="4CC44E95"/>
    <w:rsid w:val="4CF9097C"/>
    <w:rsid w:val="4DC96400"/>
    <w:rsid w:val="4EB01506"/>
    <w:rsid w:val="4ED050C4"/>
    <w:rsid w:val="4F4A41E3"/>
    <w:rsid w:val="4FB43392"/>
    <w:rsid w:val="4FBC446F"/>
    <w:rsid w:val="4FEC07C0"/>
    <w:rsid w:val="50106AF7"/>
    <w:rsid w:val="50500581"/>
    <w:rsid w:val="50814A2E"/>
    <w:rsid w:val="50B671AC"/>
    <w:rsid w:val="50C80BF1"/>
    <w:rsid w:val="51886FEF"/>
    <w:rsid w:val="518F170F"/>
    <w:rsid w:val="51DA152F"/>
    <w:rsid w:val="51EA7960"/>
    <w:rsid w:val="51F30B1D"/>
    <w:rsid w:val="52307901"/>
    <w:rsid w:val="526130AB"/>
    <w:rsid w:val="528F73B5"/>
    <w:rsid w:val="52BE405A"/>
    <w:rsid w:val="53027895"/>
    <w:rsid w:val="53430A03"/>
    <w:rsid w:val="53740BBC"/>
    <w:rsid w:val="53B57275"/>
    <w:rsid w:val="53E25A82"/>
    <w:rsid w:val="549E05E7"/>
    <w:rsid w:val="55711F3C"/>
    <w:rsid w:val="558F12DC"/>
    <w:rsid w:val="55A51501"/>
    <w:rsid w:val="55E93B62"/>
    <w:rsid w:val="56197F14"/>
    <w:rsid w:val="56634AC7"/>
    <w:rsid w:val="57303A6A"/>
    <w:rsid w:val="5755308B"/>
    <w:rsid w:val="58236A15"/>
    <w:rsid w:val="58321EC6"/>
    <w:rsid w:val="586757C9"/>
    <w:rsid w:val="596046A9"/>
    <w:rsid w:val="59814312"/>
    <w:rsid w:val="59E514CE"/>
    <w:rsid w:val="59F90CD9"/>
    <w:rsid w:val="5A8B0CE2"/>
    <w:rsid w:val="5B0D5B7E"/>
    <w:rsid w:val="5B2335F4"/>
    <w:rsid w:val="5B365F9C"/>
    <w:rsid w:val="5B5174A3"/>
    <w:rsid w:val="5BCE3D57"/>
    <w:rsid w:val="5BD413C6"/>
    <w:rsid w:val="5BF136F2"/>
    <w:rsid w:val="5CE131C8"/>
    <w:rsid w:val="5D186043"/>
    <w:rsid w:val="5D652999"/>
    <w:rsid w:val="5D755C5D"/>
    <w:rsid w:val="5DBD0D0C"/>
    <w:rsid w:val="5E6229A3"/>
    <w:rsid w:val="5E643D94"/>
    <w:rsid w:val="5E895E64"/>
    <w:rsid w:val="5ECB022A"/>
    <w:rsid w:val="5EEC4F2C"/>
    <w:rsid w:val="600571C6"/>
    <w:rsid w:val="602B5E86"/>
    <w:rsid w:val="60851CB5"/>
    <w:rsid w:val="60917251"/>
    <w:rsid w:val="60BF3DBF"/>
    <w:rsid w:val="618F50F0"/>
    <w:rsid w:val="630A61EC"/>
    <w:rsid w:val="630C5A63"/>
    <w:rsid w:val="638C3D00"/>
    <w:rsid w:val="63A6366B"/>
    <w:rsid w:val="63FB5D4B"/>
    <w:rsid w:val="64920E2E"/>
    <w:rsid w:val="64944F4F"/>
    <w:rsid w:val="651641C9"/>
    <w:rsid w:val="65507504"/>
    <w:rsid w:val="65523878"/>
    <w:rsid w:val="6577439A"/>
    <w:rsid w:val="657C56E4"/>
    <w:rsid w:val="65913850"/>
    <w:rsid w:val="65EE287F"/>
    <w:rsid w:val="66074398"/>
    <w:rsid w:val="666B09B5"/>
    <w:rsid w:val="66885224"/>
    <w:rsid w:val="669E6224"/>
    <w:rsid w:val="66B948FB"/>
    <w:rsid w:val="66C0472B"/>
    <w:rsid w:val="670E33AA"/>
    <w:rsid w:val="674F4552"/>
    <w:rsid w:val="67C147FE"/>
    <w:rsid w:val="67F81964"/>
    <w:rsid w:val="67FF49EE"/>
    <w:rsid w:val="680558C7"/>
    <w:rsid w:val="68D357B0"/>
    <w:rsid w:val="691638A0"/>
    <w:rsid w:val="69453310"/>
    <w:rsid w:val="69502755"/>
    <w:rsid w:val="69A81F32"/>
    <w:rsid w:val="69B3135D"/>
    <w:rsid w:val="69D4537F"/>
    <w:rsid w:val="6A7E0847"/>
    <w:rsid w:val="6AE663EC"/>
    <w:rsid w:val="6B730F06"/>
    <w:rsid w:val="6BCC674E"/>
    <w:rsid w:val="6C1429CD"/>
    <w:rsid w:val="6D307F19"/>
    <w:rsid w:val="6D392803"/>
    <w:rsid w:val="6D8A305E"/>
    <w:rsid w:val="6D8A5754"/>
    <w:rsid w:val="6D9B32F9"/>
    <w:rsid w:val="6E041BCC"/>
    <w:rsid w:val="6E9B0019"/>
    <w:rsid w:val="6EBE6817"/>
    <w:rsid w:val="6F1277AF"/>
    <w:rsid w:val="70043FFA"/>
    <w:rsid w:val="70626515"/>
    <w:rsid w:val="71036320"/>
    <w:rsid w:val="711710AD"/>
    <w:rsid w:val="71352244"/>
    <w:rsid w:val="71C72C2D"/>
    <w:rsid w:val="722F1191"/>
    <w:rsid w:val="725B146D"/>
    <w:rsid w:val="7282691B"/>
    <w:rsid w:val="728B1D53"/>
    <w:rsid w:val="728F5B27"/>
    <w:rsid w:val="72F71196"/>
    <w:rsid w:val="730D6726"/>
    <w:rsid w:val="73933591"/>
    <w:rsid w:val="73A34E7A"/>
    <w:rsid w:val="74EC45FF"/>
    <w:rsid w:val="753B2065"/>
    <w:rsid w:val="759E7FEF"/>
    <w:rsid w:val="767825EE"/>
    <w:rsid w:val="76BD44A5"/>
    <w:rsid w:val="76C70E7F"/>
    <w:rsid w:val="76D10E3F"/>
    <w:rsid w:val="77901832"/>
    <w:rsid w:val="77E263C1"/>
    <w:rsid w:val="783165F8"/>
    <w:rsid w:val="78511348"/>
    <w:rsid w:val="7853405B"/>
    <w:rsid w:val="786B73C0"/>
    <w:rsid w:val="78B72471"/>
    <w:rsid w:val="79FA5A10"/>
    <w:rsid w:val="7A170370"/>
    <w:rsid w:val="7A7B71CF"/>
    <w:rsid w:val="7AB160CE"/>
    <w:rsid w:val="7AE74A5D"/>
    <w:rsid w:val="7B133DEB"/>
    <w:rsid w:val="7B813021"/>
    <w:rsid w:val="7BAB3B8C"/>
    <w:rsid w:val="7BD31CA7"/>
    <w:rsid w:val="7CB64E66"/>
    <w:rsid w:val="7DB23C95"/>
    <w:rsid w:val="7DB42281"/>
    <w:rsid w:val="7E07040C"/>
    <w:rsid w:val="7E5020A2"/>
    <w:rsid w:val="7E5620F5"/>
    <w:rsid w:val="7E602DBC"/>
    <w:rsid w:val="7E861B03"/>
    <w:rsid w:val="7EB300A7"/>
    <w:rsid w:val="7EC40028"/>
    <w:rsid w:val="7EF81C4B"/>
    <w:rsid w:val="7F1948E2"/>
    <w:rsid w:val="7FB013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9" w:semiHidden="0" w:name="heading 3"/>
    <w:lsdException w:qFormat="1" w:unhideWhenUsed="0" w:uiPriority="9"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nhideWhenUsed="0" w:uiPriority="0" w:semiHidden="0" w:name="toc 1"/>
    <w:lsdException w:qFormat="1" w:unhideWhenUsed="0" w:uiPriority="0" w:name="toc 2"/>
    <w:lsdException w:qFormat="1" w:unhideWhenUsed="0" w:uiPriority="0" w:name="toc 3"/>
    <w:lsdException w:qFormat="1" w:unhideWhenUsed="0" w:uiPriority="0" w:name="toc 4"/>
    <w:lsdException w:qFormat="1" w:unhideWhenUsed="0" w:uiPriority="0" w:name="toc 5"/>
    <w:lsdException w:qFormat="1" w:unhideWhenUsed="0" w:uiPriority="0" w:name="toc 6"/>
    <w:lsdException w:qFormat="1" w:unhideWhenUsed="0" w:uiPriority="0" w:name="toc 7"/>
    <w:lsdException w:qFormat="1" w:unhideWhenUsed="0" w:uiPriority="0" w:name="toc 8"/>
    <w:lsdException w:qFormat="1" w:unhideWhenUsed="0" w:uiPriority="0" w:name="toc 9"/>
    <w:lsdException w:qFormat="1" w:unhideWhenUsed="0" w:uiPriority="0" w:semiHidden="0" w:name="Normal Indent"/>
    <w:lsdException w:uiPriority="0" w:name="footnote text"/>
    <w:lsdException w:qFormat="1" w:unhideWhenUsed="0" w:uiPriority="99" w:name="annotation text"/>
    <w:lsdException w:qFormat="1" w:unhideWhenUsed="0" w:uiPriority="99" w:semiHidden="0" w:name="header"/>
    <w:lsdException w:qFormat="1" w:unhideWhenUsed="0" w:uiPriority="0" w:semiHidden="0" w:name="footer"/>
    <w:lsdException w:qFormat="1" w:unhideWhenUsed="0" w:uiPriority="0" w:name="index heading"/>
    <w:lsdException w:qFormat="1" w:unhideWhenUsed="0" w:uiPriority="0" w:semiHidden="0" w:name="caption"/>
    <w:lsdException w:uiPriority="0" w:name="table of figures"/>
    <w:lsdException w:uiPriority="0" w:name="envelope address"/>
    <w:lsdException w:uiPriority="0" w:name="envelope return"/>
    <w:lsdException w:uiPriority="0" w:name="footnote reference"/>
    <w:lsdException w:qFormat="1" w:unhideWhenUsed="0" w:uiPriority="99" w:semiHidden="0" w:name="annotation reference"/>
    <w:lsdException w:uiPriority="0" w:name="line number"/>
    <w:lsdException w:qFormat="1" w:unhideWhenUsed="0" w:uiPriority="0" w:semiHidden="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qFormat="1"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qFormat="1" w:unhideWhenUsed="0" w:uiPriority="0" w:semiHidden="0" w:name="Body Text"/>
    <w:lsdException w:qFormat="1" w:unhideWhenUsed="0" w:uiPriority="0" w:semiHidden="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qFormat="1" w:unhideWhenUsed="0" w:uiPriority="0" w:semiHidden="0" w:name="Date"/>
    <w:lsdException w:qFormat="1" w:unhideWhenUsed="0" w:uiPriority="0" w:semiHidden="0" w:name="Body Text First Indent"/>
    <w:lsdException w:qFormat="1" w:unhideWhenUsed="0" w:uiPriority="99" w:semiHidden="0" w:name="Body Text First Indent 2"/>
    <w:lsdException w:uiPriority="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uiPriority="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name="Document Map"/>
    <w:lsdException w:qFormat="1" w:unhideWhenUsed="0" w:uiPriority="0" w:semiHidden="0" w:name="Plain Text"/>
    <w:lsdException w:uiPriority="0" w:name="E-mail Signature"/>
    <w:lsdException w:qFormat="1" w:unhideWhenUsed="0" w:uiPriority="99"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qFormat="1" w:unhideWhenUsed="0" w:uiPriority="0" w:semiHidden="0" w:name="HTML Preformatted"/>
    <w:lsdException w:uiPriority="0" w:name="HTML Sample"/>
    <w:lsdException w:uiPriority="0" w:name="HTML Typewriter"/>
    <w:lsdException w:uiPriority="0" w:name="HTML Variable"/>
    <w:lsdException w:qFormat="1" w:uiPriority="99" w:name="Normal Table"/>
    <w:lsdException w:qFormat="1" w:unhideWhenUsed="0" w:uiPriority="99"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qFormat="1" w:unhideWhenUsed="0" w:uiPriority="0" w:semiHidden="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99"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qFormat="1" w:unhideWhenUsed="0" w:uiPriority="0" w:semiHidden="0" w:name="Quote"/>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link w:val="59"/>
    <w:autoRedefine/>
    <w:qFormat/>
    <w:uiPriority w:val="0"/>
    <w:pPr>
      <w:spacing w:before="340" w:after="330" w:line="360" w:lineRule="auto"/>
      <w:jc w:val="center"/>
      <w:outlineLvl w:val="0"/>
    </w:pPr>
    <w:rPr>
      <w:rFonts w:eastAsia="黑体"/>
      <w:kern w:val="44"/>
      <w:szCs w:val="44"/>
    </w:rPr>
  </w:style>
  <w:style w:type="paragraph" w:styleId="4">
    <w:name w:val="heading 2"/>
    <w:basedOn w:val="1"/>
    <w:next w:val="1"/>
    <w:link w:val="74"/>
    <w:autoRedefine/>
    <w:qFormat/>
    <w:uiPriority w:val="0"/>
    <w:pPr>
      <w:adjustRightInd w:val="0"/>
      <w:jc w:val="center"/>
      <w:textAlignment w:val="baseline"/>
      <w:outlineLvl w:val="1"/>
    </w:pPr>
    <w:rPr>
      <w:kern w:val="0"/>
      <w:sz w:val="24"/>
      <w:szCs w:val="20"/>
    </w:rPr>
  </w:style>
  <w:style w:type="paragraph" w:styleId="5">
    <w:name w:val="heading 3"/>
    <w:basedOn w:val="6"/>
    <w:next w:val="1"/>
    <w:link w:val="58"/>
    <w:autoRedefine/>
    <w:qFormat/>
    <w:uiPriority w:val="9"/>
    <w:pPr>
      <w:spacing w:before="260" w:after="260" w:line="240" w:lineRule="auto"/>
      <w:outlineLvl w:val="2"/>
    </w:pPr>
    <w:rPr>
      <w:rFonts w:ascii="宋体" w:hAnsi="宋体" w:eastAsia="宋体"/>
      <w:szCs w:val="32"/>
    </w:rPr>
  </w:style>
  <w:style w:type="paragraph" w:styleId="6">
    <w:name w:val="heading 4"/>
    <w:basedOn w:val="1"/>
    <w:next w:val="1"/>
    <w:link w:val="56"/>
    <w:autoRedefine/>
    <w:qFormat/>
    <w:uiPriority w:val="9"/>
    <w:pPr>
      <w:keepNext/>
      <w:keepLines/>
      <w:spacing w:before="280" w:after="290" w:line="376" w:lineRule="auto"/>
      <w:outlineLvl w:val="3"/>
    </w:pPr>
    <w:rPr>
      <w:rFonts w:ascii="Arial" w:hAnsi="Arial" w:eastAsia="黑体"/>
      <w:b/>
      <w:bCs/>
      <w:sz w:val="28"/>
      <w:szCs w:val="28"/>
    </w:rPr>
  </w:style>
  <w:style w:type="paragraph" w:styleId="7">
    <w:name w:val="heading 5"/>
    <w:basedOn w:val="1"/>
    <w:next w:val="8"/>
    <w:link w:val="83"/>
    <w:autoRedefine/>
    <w:qFormat/>
    <w:uiPriority w:val="0"/>
    <w:pPr>
      <w:keepNext/>
      <w:keepLines/>
      <w:spacing w:before="280" w:after="290" w:line="376" w:lineRule="auto"/>
      <w:outlineLvl w:val="4"/>
    </w:pPr>
    <w:rPr>
      <w:b/>
      <w:sz w:val="28"/>
      <w:szCs w:val="20"/>
    </w:rPr>
  </w:style>
  <w:style w:type="paragraph" w:styleId="9">
    <w:name w:val="heading 6"/>
    <w:basedOn w:val="1"/>
    <w:next w:val="8"/>
    <w:link w:val="86"/>
    <w:autoRedefine/>
    <w:qFormat/>
    <w:uiPriority w:val="0"/>
    <w:pPr>
      <w:keepNext/>
      <w:keepLines/>
      <w:spacing w:before="240" w:after="64" w:line="320" w:lineRule="auto"/>
      <w:outlineLvl w:val="5"/>
    </w:pPr>
    <w:rPr>
      <w:rFonts w:ascii="Arial" w:hAnsi="Arial" w:eastAsia="黑体"/>
      <w:b/>
      <w:sz w:val="24"/>
      <w:szCs w:val="20"/>
    </w:rPr>
  </w:style>
  <w:style w:type="paragraph" w:styleId="10">
    <w:name w:val="heading 7"/>
    <w:basedOn w:val="1"/>
    <w:next w:val="8"/>
    <w:link w:val="87"/>
    <w:autoRedefine/>
    <w:qFormat/>
    <w:uiPriority w:val="0"/>
    <w:pPr>
      <w:keepNext/>
      <w:keepLines/>
      <w:spacing w:before="240" w:after="64" w:line="320" w:lineRule="auto"/>
      <w:outlineLvl w:val="6"/>
    </w:pPr>
    <w:rPr>
      <w:b/>
      <w:sz w:val="24"/>
      <w:szCs w:val="20"/>
    </w:rPr>
  </w:style>
  <w:style w:type="paragraph" w:styleId="11">
    <w:name w:val="heading 8"/>
    <w:basedOn w:val="1"/>
    <w:next w:val="8"/>
    <w:link w:val="88"/>
    <w:autoRedefine/>
    <w:qFormat/>
    <w:uiPriority w:val="0"/>
    <w:pPr>
      <w:keepNext/>
      <w:keepLines/>
      <w:spacing w:before="240" w:after="64" w:line="320" w:lineRule="auto"/>
      <w:outlineLvl w:val="7"/>
    </w:pPr>
    <w:rPr>
      <w:rFonts w:ascii="Arial" w:hAnsi="Arial" w:eastAsia="黑体"/>
      <w:sz w:val="24"/>
      <w:szCs w:val="20"/>
    </w:rPr>
  </w:style>
  <w:style w:type="paragraph" w:styleId="12">
    <w:name w:val="heading 9"/>
    <w:basedOn w:val="1"/>
    <w:next w:val="8"/>
    <w:link w:val="89"/>
    <w:autoRedefine/>
    <w:qFormat/>
    <w:uiPriority w:val="0"/>
    <w:pPr>
      <w:keepNext/>
      <w:keepLines/>
      <w:spacing w:before="240" w:after="64" w:line="320" w:lineRule="auto"/>
      <w:outlineLvl w:val="8"/>
    </w:pPr>
    <w:rPr>
      <w:rFonts w:ascii="Arial" w:hAnsi="Arial" w:eastAsia="黑体"/>
      <w:szCs w:val="20"/>
    </w:rPr>
  </w:style>
  <w:style w:type="character" w:default="1" w:styleId="48">
    <w:name w:val="Default Paragraph Font"/>
    <w:autoRedefine/>
    <w:semiHidden/>
    <w:unhideWhenUsed/>
    <w:qFormat/>
    <w:uiPriority w:val="1"/>
  </w:style>
  <w:style w:type="table" w:default="1" w:styleId="45">
    <w:name w:val="Normal Table"/>
    <w:autoRedefine/>
    <w:semiHidden/>
    <w:unhideWhenUsed/>
    <w:qFormat/>
    <w:uiPriority w:val="99"/>
    <w:tblPr>
      <w:tblCellMar>
        <w:top w:w="0" w:type="dxa"/>
        <w:left w:w="108" w:type="dxa"/>
        <w:bottom w:w="0" w:type="dxa"/>
        <w:right w:w="108" w:type="dxa"/>
      </w:tblCellMar>
    </w:tblPr>
  </w:style>
  <w:style w:type="paragraph" w:styleId="2">
    <w:name w:val="toc 1"/>
    <w:basedOn w:val="1"/>
    <w:next w:val="1"/>
    <w:autoRedefine/>
    <w:qFormat/>
    <w:uiPriority w:val="0"/>
    <w:pPr>
      <w:spacing w:before="120" w:after="120"/>
      <w:jc w:val="left"/>
    </w:pPr>
    <w:rPr>
      <w:b/>
      <w:bCs/>
      <w:caps/>
    </w:rPr>
  </w:style>
  <w:style w:type="paragraph" w:styleId="8">
    <w:name w:val="Normal Indent"/>
    <w:basedOn w:val="1"/>
    <w:link w:val="60"/>
    <w:qFormat/>
    <w:uiPriority w:val="0"/>
    <w:pPr>
      <w:ind w:firstLine="420"/>
    </w:pPr>
    <w:rPr>
      <w:szCs w:val="20"/>
    </w:rPr>
  </w:style>
  <w:style w:type="paragraph" w:styleId="13">
    <w:name w:val="toc 7"/>
    <w:basedOn w:val="1"/>
    <w:next w:val="1"/>
    <w:autoRedefine/>
    <w:semiHidden/>
    <w:qFormat/>
    <w:uiPriority w:val="0"/>
    <w:pPr>
      <w:ind w:left="1260"/>
      <w:jc w:val="left"/>
    </w:pPr>
    <w:rPr>
      <w:szCs w:val="21"/>
    </w:rPr>
  </w:style>
  <w:style w:type="paragraph" w:styleId="14">
    <w:name w:val="caption"/>
    <w:basedOn w:val="1"/>
    <w:next w:val="1"/>
    <w:qFormat/>
    <w:uiPriority w:val="0"/>
    <w:pPr>
      <w:widowControl/>
      <w:spacing w:line="360" w:lineRule="auto"/>
      <w:ind w:firstLine="1940" w:firstLineChars="920"/>
      <w:jc w:val="left"/>
    </w:pPr>
    <w:rPr>
      <w:rFonts w:ascii="宋体" w:hAnsi="宋体"/>
      <w:b/>
      <w:bCs/>
      <w:kern w:val="0"/>
      <w:sz w:val="20"/>
      <w:szCs w:val="20"/>
    </w:rPr>
  </w:style>
  <w:style w:type="paragraph" w:styleId="15">
    <w:name w:val="List Bullet"/>
    <w:basedOn w:val="1"/>
    <w:autoRedefine/>
    <w:qFormat/>
    <w:uiPriority w:val="0"/>
    <w:pPr>
      <w:numPr>
        <w:ilvl w:val="0"/>
        <w:numId w:val="1"/>
      </w:numPr>
    </w:pPr>
    <w:rPr>
      <w:szCs w:val="20"/>
    </w:rPr>
  </w:style>
  <w:style w:type="paragraph" w:styleId="16">
    <w:name w:val="Document Map"/>
    <w:basedOn w:val="1"/>
    <w:autoRedefine/>
    <w:semiHidden/>
    <w:qFormat/>
    <w:uiPriority w:val="0"/>
    <w:pPr>
      <w:shd w:val="clear" w:color="auto" w:fill="000080"/>
    </w:pPr>
  </w:style>
  <w:style w:type="paragraph" w:styleId="17">
    <w:name w:val="annotation text"/>
    <w:basedOn w:val="1"/>
    <w:link w:val="187"/>
    <w:autoRedefine/>
    <w:semiHidden/>
    <w:qFormat/>
    <w:uiPriority w:val="99"/>
    <w:pPr>
      <w:autoSpaceDE w:val="0"/>
      <w:autoSpaceDN w:val="0"/>
      <w:adjustRightInd w:val="0"/>
      <w:jc w:val="left"/>
      <w:textAlignment w:val="baseline"/>
    </w:pPr>
    <w:rPr>
      <w:rFonts w:ascii="宋体"/>
      <w:kern w:val="0"/>
      <w:sz w:val="34"/>
      <w:szCs w:val="20"/>
    </w:rPr>
  </w:style>
  <w:style w:type="paragraph" w:styleId="18">
    <w:name w:val="Body Text 3"/>
    <w:basedOn w:val="1"/>
    <w:link w:val="101"/>
    <w:autoRedefine/>
    <w:qFormat/>
    <w:uiPriority w:val="0"/>
    <w:pPr>
      <w:spacing w:after="120"/>
    </w:pPr>
    <w:rPr>
      <w:sz w:val="16"/>
      <w:szCs w:val="16"/>
    </w:rPr>
  </w:style>
  <w:style w:type="paragraph" w:styleId="19">
    <w:name w:val="Body Text"/>
    <w:basedOn w:val="1"/>
    <w:next w:val="20"/>
    <w:link w:val="95"/>
    <w:autoRedefine/>
    <w:qFormat/>
    <w:uiPriority w:val="0"/>
    <w:pPr>
      <w:spacing w:line="360" w:lineRule="auto"/>
    </w:pPr>
    <w:rPr>
      <w:b/>
      <w:bCs/>
      <w:sz w:val="24"/>
    </w:rPr>
  </w:style>
  <w:style w:type="paragraph" w:styleId="20">
    <w:name w:val="Body Text 2"/>
    <w:basedOn w:val="1"/>
    <w:link w:val="99"/>
    <w:autoRedefine/>
    <w:qFormat/>
    <w:uiPriority w:val="0"/>
    <w:pPr>
      <w:spacing w:line="360" w:lineRule="auto"/>
    </w:pPr>
    <w:rPr>
      <w:sz w:val="24"/>
    </w:rPr>
  </w:style>
  <w:style w:type="paragraph" w:styleId="21">
    <w:name w:val="Body Text Indent"/>
    <w:basedOn w:val="1"/>
    <w:link w:val="82"/>
    <w:autoRedefine/>
    <w:qFormat/>
    <w:uiPriority w:val="0"/>
    <w:pPr>
      <w:spacing w:line="360" w:lineRule="auto"/>
      <w:ind w:firstLine="420" w:firstLineChars="200"/>
    </w:pPr>
  </w:style>
  <w:style w:type="paragraph" w:styleId="22">
    <w:name w:val="toc 5"/>
    <w:basedOn w:val="1"/>
    <w:next w:val="1"/>
    <w:autoRedefine/>
    <w:semiHidden/>
    <w:qFormat/>
    <w:uiPriority w:val="0"/>
    <w:pPr>
      <w:ind w:left="840"/>
      <w:jc w:val="left"/>
    </w:pPr>
    <w:rPr>
      <w:szCs w:val="21"/>
    </w:rPr>
  </w:style>
  <w:style w:type="paragraph" w:styleId="23">
    <w:name w:val="toc 3"/>
    <w:basedOn w:val="1"/>
    <w:next w:val="1"/>
    <w:autoRedefine/>
    <w:semiHidden/>
    <w:qFormat/>
    <w:uiPriority w:val="0"/>
    <w:pPr>
      <w:ind w:left="420"/>
      <w:jc w:val="left"/>
    </w:pPr>
    <w:rPr>
      <w:i/>
      <w:iCs/>
    </w:rPr>
  </w:style>
  <w:style w:type="paragraph" w:styleId="24">
    <w:name w:val="Plain Text"/>
    <w:basedOn w:val="1"/>
    <w:link w:val="93"/>
    <w:autoRedefine/>
    <w:qFormat/>
    <w:uiPriority w:val="0"/>
    <w:rPr>
      <w:rFonts w:ascii="宋体" w:hAnsi="Courier New"/>
      <w:szCs w:val="20"/>
    </w:rPr>
  </w:style>
  <w:style w:type="paragraph" w:styleId="25">
    <w:name w:val="toc 8"/>
    <w:basedOn w:val="1"/>
    <w:next w:val="1"/>
    <w:autoRedefine/>
    <w:semiHidden/>
    <w:qFormat/>
    <w:uiPriority w:val="0"/>
    <w:pPr>
      <w:ind w:left="1470"/>
      <w:jc w:val="left"/>
    </w:pPr>
    <w:rPr>
      <w:szCs w:val="21"/>
    </w:rPr>
  </w:style>
  <w:style w:type="paragraph" w:styleId="26">
    <w:name w:val="Date"/>
    <w:basedOn w:val="1"/>
    <w:next w:val="1"/>
    <w:link w:val="91"/>
    <w:autoRedefine/>
    <w:qFormat/>
    <w:uiPriority w:val="0"/>
    <w:rPr>
      <w:rFonts w:ascii="宋体" w:hAnsi="Courier New"/>
      <w:sz w:val="32"/>
      <w:szCs w:val="20"/>
    </w:rPr>
  </w:style>
  <w:style w:type="paragraph" w:styleId="27">
    <w:name w:val="Body Text Indent 2"/>
    <w:basedOn w:val="1"/>
    <w:link w:val="96"/>
    <w:autoRedefine/>
    <w:qFormat/>
    <w:uiPriority w:val="0"/>
    <w:pPr>
      <w:spacing w:beforeLines="50" w:afterLines="50" w:line="120" w:lineRule="auto"/>
      <w:ind w:firstLine="840" w:firstLineChars="400"/>
      <w:jc w:val="left"/>
    </w:pPr>
    <w:rPr>
      <w:rFonts w:ascii="宋体" w:hAnsi="宋体"/>
    </w:rPr>
  </w:style>
  <w:style w:type="paragraph" w:styleId="28">
    <w:name w:val="Balloon Text"/>
    <w:basedOn w:val="1"/>
    <w:link w:val="102"/>
    <w:autoRedefine/>
    <w:semiHidden/>
    <w:qFormat/>
    <w:uiPriority w:val="99"/>
    <w:rPr>
      <w:sz w:val="18"/>
      <w:szCs w:val="18"/>
    </w:rPr>
  </w:style>
  <w:style w:type="paragraph" w:styleId="29">
    <w:name w:val="footer"/>
    <w:basedOn w:val="1"/>
    <w:link w:val="100"/>
    <w:autoRedefine/>
    <w:qFormat/>
    <w:uiPriority w:val="0"/>
    <w:pPr>
      <w:tabs>
        <w:tab w:val="center" w:pos="4153"/>
        <w:tab w:val="right" w:pos="8306"/>
      </w:tabs>
      <w:snapToGrid w:val="0"/>
      <w:jc w:val="left"/>
    </w:pPr>
    <w:rPr>
      <w:sz w:val="18"/>
      <w:szCs w:val="18"/>
    </w:rPr>
  </w:style>
  <w:style w:type="paragraph" w:styleId="30">
    <w:name w:val="header"/>
    <w:basedOn w:val="1"/>
    <w:link w:val="97"/>
    <w:autoRedefine/>
    <w:qFormat/>
    <w:uiPriority w:val="99"/>
    <w:pPr>
      <w:pBdr>
        <w:bottom w:val="single" w:color="auto" w:sz="6" w:space="1"/>
      </w:pBdr>
      <w:tabs>
        <w:tab w:val="center" w:pos="4153"/>
        <w:tab w:val="right" w:pos="8306"/>
      </w:tabs>
      <w:snapToGrid w:val="0"/>
      <w:jc w:val="center"/>
    </w:pPr>
    <w:rPr>
      <w:sz w:val="18"/>
      <w:szCs w:val="18"/>
    </w:rPr>
  </w:style>
  <w:style w:type="paragraph" w:styleId="31">
    <w:name w:val="toc 4"/>
    <w:basedOn w:val="1"/>
    <w:next w:val="1"/>
    <w:autoRedefine/>
    <w:semiHidden/>
    <w:qFormat/>
    <w:uiPriority w:val="0"/>
    <w:pPr>
      <w:ind w:left="630"/>
      <w:jc w:val="left"/>
    </w:pPr>
    <w:rPr>
      <w:szCs w:val="21"/>
    </w:rPr>
  </w:style>
  <w:style w:type="paragraph" w:styleId="32">
    <w:name w:val="index heading"/>
    <w:basedOn w:val="1"/>
    <w:next w:val="33"/>
    <w:semiHidden/>
    <w:qFormat/>
    <w:uiPriority w:val="0"/>
    <w:rPr>
      <w:szCs w:val="20"/>
    </w:rPr>
  </w:style>
  <w:style w:type="paragraph" w:styleId="33">
    <w:name w:val="index 1"/>
    <w:basedOn w:val="1"/>
    <w:next w:val="1"/>
    <w:autoRedefine/>
    <w:semiHidden/>
    <w:qFormat/>
    <w:uiPriority w:val="0"/>
    <w:pPr>
      <w:tabs>
        <w:tab w:val="left" w:pos="3360"/>
      </w:tabs>
      <w:spacing w:line="520" w:lineRule="exact"/>
      <w:ind w:left="419" w:leftChars="50" w:hanging="314" w:hangingChars="131"/>
      <w:jc w:val="center"/>
      <w:outlineLvl w:val="3"/>
    </w:pPr>
    <w:rPr>
      <w:rFonts w:ascii="宋体" w:hAnsi="宋体"/>
      <w:sz w:val="24"/>
    </w:rPr>
  </w:style>
  <w:style w:type="paragraph" w:styleId="34">
    <w:name w:val="Subtitle"/>
    <w:next w:val="1"/>
    <w:link w:val="312"/>
    <w:autoRedefine/>
    <w:qFormat/>
    <w:uiPriority w:val="0"/>
    <w:pPr>
      <w:wordWrap w:val="0"/>
      <w:spacing w:after="60"/>
      <w:jc w:val="center"/>
    </w:pPr>
    <w:rPr>
      <w:rFonts w:ascii="Calibri" w:hAnsi="Calibri" w:eastAsia="宋体" w:cs="Times New Roman"/>
      <w:sz w:val="24"/>
      <w:lang w:val="en-US" w:eastAsia="zh-CN" w:bidi="ar-SA"/>
    </w:rPr>
  </w:style>
  <w:style w:type="paragraph" w:styleId="35">
    <w:name w:val="toc 6"/>
    <w:basedOn w:val="1"/>
    <w:next w:val="1"/>
    <w:autoRedefine/>
    <w:semiHidden/>
    <w:qFormat/>
    <w:uiPriority w:val="0"/>
    <w:pPr>
      <w:ind w:left="1050"/>
      <w:jc w:val="left"/>
    </w:pPr>
    <w:rPr>
      <w:szCs w:val="21"/>
    </w:rPr>
  </w:style>
  <w:style w:type="paragraph" w:styleId="36">
    <w:name w:val="Body Text Indent 3"/>
    <w:basedOn w:val="1"/>
    <w:link w:val="98"/>
    <w:autoRedefine/>
    <w:qFormat/>
    <w:uiPriority w:val="0"/>
    <w:pPr>
      <w:spacing w:line="360" w:lineRule="auto"/>
      <w:ind w:firstLine="482" w:firstLineChars="200"/>
    </w:pPr>
    <w:rPr>
      <w:rFonts w:ascii="宋体"/>
      <w:b/>
      <w:bCs/>
      <w:sz w:val="24"/>
    </w:rPr>
  </w:style>
  <w:style w:type="paragraph" w:styleId="37">
    <w:name w:val="toc 2"/>
    <w:basedOn w:val="1"/>
    <w:next w:val="1"/>
    <w:autoRedefine/>
    <w:semiHidden/>
    <w:qFormat/>
    <w:uiPriority w:val="0"/>
    <w:pPr>
      <w:tabs>
        <w:tab w:val="right" w:leader="dot" w:pos="8296"/>
      </w:tabs>
      <w:ind w:left="210"/>
      <w:jc w:val="left"/>
    </w:pPr>
    <w:rPr>
      <w:smallCaps/>
    </w:rPr>
  </w:style>
  <w:style w:type="paragraph" w:styleId="38">
    <w:name w:val="toc 9"/>
    <w:basedOn w:val="1"/>
    <w:next w:val="1"/>
    <w:autoRedefine/>
    <w:semiHidden/>
    <w:qFormat/>
    <w:uiPriority w:val="0"/>
    <w:pPr>
      <w:ind w:left="1680"/>
      <w:jc w:val="left"/>
    </w:pPr>
    <w:rPr>
      <w:szCs w:val="21"/>
    </w:rPr>
  </w:style>
  <w:style w:type="paragraph" w:styleId="39">
    <w:name w:val="HTML Preformatted"/>
    <w:basedOn w:val="1"/>
    <w:link w:val="92"/>
    <w:autoRedefine/>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Arial Unicode MS" w:hAnsi="Arial Unicode MS" w:eastAsia="Arial Unicode MS"/>
      <w:color w:val="000000"/>
      <w:kern w:val="0"/>
      <w:sz w:val="20"/>
      <w:szCs w:val="20"/>
    </w:rPr>
  </w:style>
  <w:style w:type="paragraph" w:styleId="40">
    <w:name w:val="Normal (Web)"/>
    <w:basedOn w:val="1"/>
    <w:autoRedefine/>
    <w:qFormat/>
    <w:uiPriority w:val="99"/>
    <w:pPr>
      <w:spacing w:beforeAutospacing="1" w:afterAutospacing="1"/>
      <w:jc w:val="left"/>
    </w:pPr>
    <w:rPr>
      <w:kern w:val="0"/>
      <w:sz w:val="24"/>
    </w:rPr>
  </w:style>
  <w:style w:type="paragraph" w:styleId="41">
    <w:name w:val="Title"/>
    <w:basedOn w:val="1"/>
    <w:link w:val="90"/>
    <w:autoRedefine/>
    <w:qFormat/>
    <w:uiPriority w:val="0"/>
    <w:pPr>
      <w:spacing w:before="240" w:after="60"/>
      <w:jc w:val="center"/>
      <w:outlineLvl w:val="0"/>
    </w:pPr>
    <w:rPr>
      <w:rFonts w:ascii="Arial" w:hAnsi="Arial" w:eastAsia="隶书" w:cs="Arial"/>
      <w:b/>
      <w:bCs/>
      <w:sz w:val="32"/>
      <w:szCs w:val="32"/>
    </w:rPr>
  </w:style>
  <w:style w:type="paragraph" w:styleId="42">
    <w:name w:val="annotation subject"/>
    <w:basedOn w:val="17"/>
    <w:next w:val="17"/>
    <w:link w:val="188"/>
    <w:autoRedefine/>
    <w:qFormat/>
    <w:uiPriority w:val="99"/>
    <w:pPr>
      <w:autoSpaceDE/>
      <w:autoSpaceDN/>
      <w:adjustRightInd/>
      <w:textAlignment w:val="auto"/>
    </w:pPr>
    <w:rPr>
      <w:rFonts w:ascii="Times New Roman"/>
      <w:b/>
      <w:bCs/>
      <w:kern w:val="2"/>
      <w:sz w:val="21"/>
      <w:szCs w:val="24"/>
    </w:rPr>
  </w:style>
  <w:style w:type="paragraph" w:styleId="43">
    <w:name w:val="Body Text First Indent"/>
    <w:basedOn w:val="19"/>
    <w:link w:val="133"/>
    <w:autoRedefine/>
    <w:qFormat/>
    <w:uiPriority w:val="0"/>
    <w:pPr>
      <w:spacing w:after="120" w:line="240" w:lineRule="auto"/>
      <w:ind w:firstLine="420" w:firstLineChars="100"/>
    </w:pPr>
    <w:rPr>
      <w:sz w:val="21"/>
    </w:rPr>
  </w:style>
  <w:style w:type="paragraph" w:styleId="44">
    <w:name w:val="Body Text First Indent 2"/>
    <w:basedOn w:val="21"/>
    <w:autoRedefine/>
    <w:qFormat/>
    <w:uiPriority w:val="99"/>
    <w:pPr>
      <w:ind w:firstLine="420" w:firstLineChars="200"/>
    </w:pPr>
  </w:style>
  <w:style w:type="table" w:styleId="46">
    <w:name w:val="Table Grid"/>
    <w:basedOn w:val="45"/>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47">
    <w:name w:val="Table Elegant"/>
    <w:basedOn w:val="45"/>
    <w:autoRedefine/>
    <w:qFormat/>
    <w:uiPriority w:val="0"/>
    <w:pPr>
      <w:widowControl w:val="0"/>
      <w:jc w:val="both"/>
    </w:pPr>
    <w:rPr>
      <w:rFonts w:ascii="Calibri" w:hAnsi="Calibri"/>
    </w:r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Pr>
    <w:tcPr>
      <w:shd w:val="clear" w:color="auto" w:fill="auto"/>
    </w:tcPr>
    <w:tblStylePr w:type="firstRow">
      <w:rPr>
        <w:caps/>
        <w:color w:val="auto"/>
      </w:rPr>
      <w:tblPr/>
      <w:tcPr>
        <w:tcBorders>
          <w:top w:val="nil"/>
          <w:left w:val="nil"/>
          <w:bottom w:val="nil"/>
          <w:right w:val="nil"/>
          <w:insideH w:val="nil"/>
          <w:insideV w:val="nil"/>
          <w:tl2br w:val="nil"/>
          <w:tr2bl w:val="nil"/>
        </w:tcBorders>
      </w:tcPr>
    </w:tblStylePr>
  </w:style>
  <w:style w:type="character" w:styleId="49">
    <w:name w:val="Strong"/>
    <w:basedOn w:val="48"/>
    <w:autoRedefine/>
    <w:qFormat/>
    <w:uiPriority w:val="0"/>
    <w:rPr>
      <w:b/>
      <w:bCs/>
    </w:rPr>
  </w:style>
  <w:style w:type="character" w:styleId="50">
    <w:name w:val="page number"/>
    <w:basedOn w:val="48"/>
    <w:autoRedefine/>
    <w:qFormat/>
    <w:uiPriority w:val="0"/>
  </w:style>
  <w:style w:type="character" w:styleId="51">
    <w:name w:val="FollowedHyperlink"/>
    <w:autoRedefine/>
    <w:qFormat/>
    <w:uiPriority w:val="0"/>
    <w:rPr>
      <w:color w:val="800080"/>
      <w:u w:val="single"/>
    </w:rPr>
  </w:style>
  <w:style w:type="character" w:styleId="52">
    <w:name w:val="Emphasis"/>
    <w:basedOn w:val="48"/>
    <w:autoRedefine/>
    <w:qFormat/>
    <w:uiPriority w:val="0"/>
    <w:rPr>
      <w:sz w:val="20"/>
    </w:rPr>
  </w:style>
  <w:style w:type="character" w:styleId="53">
    <w:name w:val="Hyperlink"/>
    <w:basedOn w:val="48"/>
    <w:autoRedefine/>
    <w:qFormat/>
    <w:uiPriority w:val="0"/>
    <w:rPr>
      <w:color w:val="0000FF"/>
      <w:u w:val="single"/>
    </w:rPr>
  </w:style>
  <w:style w:type="character" w:styleId="54">
    <w:name w:val="annotation reference"/>
    <w:basedOn w:val="48"/>
    <w:autoRedefine/>
    <w:qFormat/>
    <w:uiPriority w:val="99"/>
    <w:rPr>
      <w:sz w:val="21"/>
      <w:szCs w:val="21"/>
    </w:rPr>
  </w:style>
  <w:style w:type="character" w:customStyle="1" w:styleId="55">
    <w:name w:val="标题 1 Char"/>
    <w:qFormat/>
    <w:uiPriority w:val="0"/>
    <w:rPr>
      <w:rFonts w:hint="eastAsia" w:ascii="宋体" w:hAnsi="宋体" w:eastAsia="黑体"/>
      <w:b/>
      <w:bCs/>
      <w:kern w:val="44"/>
      <w:sz w:val="28"/>
      <w:szCs w:val="44"/>
      <w:lang w:val="en-US" w:eastAsia="zh-CN" w:bidi="ar-SA"/>
    </w:rPr>
  </w:style>
  <w:style w:type="character" w:customStyle="1" w:styleId="56">
    <w:name w:val="标题 4 字符"/>
    <w:link w:val="6"/>
    <w:autoRedefine/>
    <w:qFormat/>
    <w:uiPriority w:val="9"/>
    <w:rPr>
      <w:rFonts w:ascii="Arial" w:hAnsi="Arial" w:eastAsia="黑体"/>
      <w:b/>
      <w:bCs/>
      <w:kern w:val="2"/>
      <w:sz w:val="28"/>
      <w:szCs w:val="28"/>
      <w:lang w:val="en-US" w:eastAsia="zh-CN" w:bidi="ar-SA"/>
    </w:rPr>
  </w:style>
  <w:style w:type="paragraph" w:customStyle="1" w:styleId="57">
    <w:name w:val="Char"/>
    <w:basedOn w:val="1"/>
    <w:autoRedefine/>
    <w:qFormat/>
    <w:uiPriority w:val="0"/>
    <w:pPr>
      <w:widowControl/>
      <w:spacing w:after="160" w:line="240" w:lineRule="exact"/>
      <w:jc w:val="left"/>
    </w:pPr>
    <w:rPr>
      <w:rFonts w:ascii="Verdana" w:hAnsi="Verdana" w:eastAsia="仿宋_GB2312"/>
      <w:kern w:val="0"/>
      <w:sz w:val="24"/>
      <w:szCs w:val="20"/>
      <w:lang w:eastAsia="en-US"/>
    </w:rPr>
  </w:style>
  <w:style w:type="character" w:customStyle="1" w:styleId="58">
    <w:name w:val="标题 3 字符"/>
    <w:link w:val="5"/>
    <w:autoRedefine/>
    <w:qFormat/>
    <w:uiPriority w:val="9"/>
    <w:rPr>
      <w:rFonts w:ascii="宋体" w:hAnsi="宋体" w:eastAsia="宋体"/>
      <w:b/>
      <w:bCs/>
      <w:kern w:val="2"/>
      <w:sz w:val="28"/>
      <w:szCs w:val="32"/>
      <w:lang w:val="en-US" w:eastAsia="zh-CN" w:bidi="ar-SA"/>
    </w:rPr>
  </w:style>
  <w:style w:type="character" w:customStyle="1" w:styleId="59">
    <w:name w:val="标题 1 字符"/>
    <w:link w:val="3"/>
    <w:autoRedefine/>
    <w:qFormat/>
    <w:uiPriority w:val="0"/>
    <w:rPr>
      <w:rFonts w:ascii="宋体" w:hAnsi="宋体" w:eastAsia="黑体"/>
      <w:b/>
      <w:bCs/>
      <w:kern w:val="44"/>
      <w:sz w:val="28"/>
      <w:szCs w:val="44"/>
      <w:lang w:val="en-US" w:eastAsia="zh-CN" w:bidi="ar-SA"/>
    </w:rPr>
  </w:style>
  <w:style w:type="character" w:customStyle="1" w:styleId="60">
    <w:name w:val="正文缩进 字符"/>
    <w:link w:val="8"/>
    <w:autoRedefine/>
    <w:qFormat/>
    <w:uiPriority w:val="0"/>
    <w:rPr>
      <w:rFonts w:eastAsia="宋体"/>
      <w:kern w:val="2"/>
      <w:sz w:val="21"/>
      <w:lang w:val="en-US" w:eastAsia="zh-CN" w:bidi="ar-SA"/>
    </w:rPr>
  </w:style>
  <w:style w:type="character" w:customStyle="1" w:styleId="61">
    <w:name w:val="标题 3 Char"/>
    <w:autoRedefine/>
    <w:qFormat/>
    <w:uiPriority w:val="0"/>
    <w:rPr>
      <w:rFonts w:ascii="黑体" w:eastAsia="黑体"/>
      <w:bCs/>
      <w:sz w:val="30"/>
    </w:rPr>
  </w:style>
  <w:style w:type="paragraph" w:customStyle="1" w:styleId="62">
    <w:name w:val="样式41"/>
    <w:basedOn w:val="1"/>
    <w:autoRedefine/>
    <w:qFormat/>
    <w:uiPriority w:val="0"/>
    <w:pPr>
      <w:numPr>
        <w:ilvl w:val="0"/>
        <w:numId w:val="2"/>
      </w:numPr>
      <w:tabs>
        <w:tab w:val="left" w:pos="945"/>
      </w:tabs>
      <w:spacing w:line="360" w:lineRule="auto"/>
    </w:pPr>
    <w:rPr>
      <w:b/>
      <w:color w:val="000000"/>
      <w:sz w:val="24"/>
      <w:szCs w:val="20"/>
    </w:rPr>
  </w:style>
  <w:style w:type="paragraph" w:customStyle="1" w:styleId="63">
    <w:name w:val="图"/>
    <w:basedOn w:val="1"/>
    <w:autoRedefine/>
    <w:qFormat/>
    <w:uiPriority w:val="0"/>
    <w:pPr>
      <w:keepNext/>
      <w:adjustRightInd w:val="0"/>
      <w:snapToGrid w:val="0"/>
      <w:spacing w:before="60" w:after="60" w:line="300" w:lineRule="auto"/>
      <w:jc w:val="center"/>
    </w:pPr>
    <w:rPr>
      <w:spacing w:val="20"/>
      <w:kern w:val="0"/>
      <w:sz w:val="24"/>
      <w:szCs w:val="20"/>
    </w:rPr>
  </w:style>
  <w:style w:type="paragraph" w:customStyle="1" w:styleId="64">
    <w:name w:val="文档正文"/>
    <w:basedOn w:val="1"/>
    <w:autoRedefine/>
    <w:qFormat/>
    <w:uiPriority w:val="0"/>
    <w:pPr>
      <w:adjustRightInd w:val="0"/>
      <w:spacing w:line="480" w:lineRule="atLeast"/>
      <w:ind w:firstLine="567" w:firstLineChars="200"/>
      <w:textAlignment w:val="baseline"/>
    </w:pPr>
    <w:rPr>
      <w:rFonts w:ascii="长城仿宋"/>
      <w:kern w:val="0"/>
      <w:szCs w:val="20"/>
    </w:rPr>
  </w:style>
  <w:style w:type="paragraph" w:customStyle="1" w:styleId="65">
    <w:name w:val="Char Char Char Char"/>
    <w:basedOn w:val="1"/>
    <w:autoRedefine/>
    <w:qFormat/>
    <w:uiPriority w:val="0"/>
    <w:pPr>
      <w:widowControl/>
      <w:spacing w:after="160" w:line="240" w:lineRule="exact"/>
      <w:jc w:val="left"/>
    </w:pPr>
    <w:rPr>
      <w:rFonts w:ascii="Verdana" w:hAnsi="Verdana" w:eastAsia="仿宋_GB2312"/>
      <w:kern w:val="0"/>
      <w:sz w:val="24"/>
      <w:szCs w:val="20"/>
      <w:lang w:eastAsia="en-US"/>
    </w:rPr>
  </w:style>
  <w:style w:type="paragraph" w:customStyle="1" w:styleId="66">
    <w:name w:val="Char11"/>
    <w:basedOn w:val="1"/>
    <w:autoRedefine/>
    <w:qFormat/>
    <w:uiPriority w:val="0"/>
    <w:pPr>
      <w:widowControl/>
      <w:spacing w:after="160" w:line="240" w:lineRule="exact"/>
      <w:jc w:val="left"/>
    </w:pPr>
    <w:rPr>
      <w:rFonts w:ascii="Verdana" w:hAnsi="Verdana" w:eastAsia="仿宋_GB2312"/>
      <w:kern w:val="0"/>
      <w:sz w:val="24"/>
      <w:szCs w:val="20"/>
      <w:lang w:eastAsia="en-US"/>
    </w:rPr>
  </w:style>
  <w:style w:type="paragraph" w:customStyle="1" w:styleId="67">
    <w:name w:val="Char Char Char Char11"/>
    <w:basedOn w:val="1"/>
    <w:autoRedefine/>
    <w:qFormat/>
    <w:uiPriority w:val="0"/>
    <w:pPr>
      <w:widowControl/>
      <w:spacing w:after="160" w:line="240" w:lineRule="exact"/>
      <w:jc w:val="left"/>
    </w:pPr>
    <w:rPr>
      <w:rFonts w:ascii="Verdana" w:hAnsi="Verdana" w:eastAsia="仿宋_GB2312"/>
      <w:kern w:val="0"/>
      <w:sz w:val="24"/>
      <w:szCs w:val="20"/>
      <w:lang w:eastAsia="en-US"/>
    </w:rPr>
  </w:style>
  <w:style w:type="paragraph" w:customStyle="1" w:styleId="68">
    <w:name w:val="Table Contents"/>
    <w:basedOn w:val="1"/>
    <w:autoRedefine/>
    <w:qFormat/>
    <w:uiPriority w:val="0"/>
    <w:pPr>
      <w:suppressAutoHyphens/>
      <w:autoSpaceDE w:val="0"/>
      <w:spacing w:after="120"/>
      <w:jc w:val="left"/>
    </w:pPr>
    <w:rPr>
      <w:rFonts w:ascii="Helvetica" w:hAnsi="Helvetica"/>
      <w:kern w:val="1"/>
      <w:sz w:val="20"/>
      <w:szCs w:val="20"/>
    </w:rPr>
  </w:style>
  <w:style w:type="paragraph" w:customStyle="1" w:styleId="69">
    <w:name w:val="自定义正文"/>
    <w:basedOn w:val="1"/>
    <w:autoRedefine/>
    <w:qFormat/>
    <w:uiPriority w:val="0"/>
    <w:pPr>
      <w:spacing w:afterLines="50"/>
      <w:ind w:left="600" w:leftChars="600"/>
    </w:pPr>
  </w:style>
  <w:style w:type="paragraph" w:customStyle="1" w:styleId="70">
    <w:name w:val="Char Char Char Char Char"/>
    <w:basedOn w:val="1"/>
    <w:autoRedefine/>
    <w:qFormat/>
    <w:uiPriority w:val="0"/>
    <w:rPr>
      <w:rFonts w:ascii="Tahoma" w:hAnsi="Tahoma"/>
      <w:sz w:val="24"/>
      <w:szCs w:val="20"/>
    </w:rPr>
  </w:style>
  <w:style w:type="paragraph" w:customStyle="1" w:styleId="71">
    <w:name w:val="小标题 1"/>
    <w:basedOn w:val="1"/>
    <w:autoRedefine/>
    <w:qFormat/>
    <w:uiPriority w:val="0"/>
    <w:pPr>
      <w:autoSpaceDE w:val="0"/>
      <w:autoSpaceDN w:val="0"/>
      <w:adjustRightInd w:val="0"/>
      <w:spacing w:line="360" w:lineRule="atLeast"/>
    </w:pPr>
    <w:rPr>
      <w:rFonts w:ascii="文鼎粗黑" w:eastAsia="文鼎粗黑"/>
      <w:kern w:val="0"/>
      <w:sz w:val="22"/>
      <w:szCs w:val="20"/>
    </w:rPr>
  </w:style>
  <w:style w:type="paragraph" w:customStyle="1" w:styleId="72">
    <w:name w:val="Char Char"/>
    <w:basedOn w:val="1"/>
    <w:autoRedefine/>
    <w:qFormat/>
    <w:uiPriority w:val="0"/>
    <w:rPr>
      <w:rFonts w:ascii="Tahoma" w:hAnsi="Tahoma"/>
      <w:sz w:val="24"/>
      <w:szCs w:val="20"/>
    </w:rPr>
  </w:style>
  <w:style w:type="paragraph" w:customStyle="1" w:styleId="73">
    <w:name w:val="È±Ê¡ÎÄ±¾"/>
    <w:basedOn w:val="1"/>
    <w:autoRedefine/>
    <w:qFormat/>
    <w:uiPriority w:val="0"/>
    <w:pPr>
      <w:widowControl/>
      <w:overflowPunct w:val="0"/>
      <w:autoSpaceDE w:val="0"/>
      <w:autoSpaceDN w:val="0"/>
      <w:adjustRightInd w:val="0"/>
      <w:jc w:val="left"/>
      <w:textAlignment w:val="baseline"/>
    </w:pPr>
    <w:rPr>
      <w:kern w:val="0"/>
      <w:sz w:val="24"/>
      <w:szCs w:val="20"/>
    </w:rPr>
  </w:style>
  <w:style w:type="character" w:customStyle="1" w:styleId="74">
    <w:name w:val="标题 2 字符"/>
    <w:link w:val="4"/>
    <w:autoRedefine/>
    <w:qFormat/>
    <w:uiPriority w:val="0"/>
    <w:rPr>
      <w:rFonts w:ascii="宋体" w:hAnsi="宋体" w:eastAsia="宋体"/>
      <w:b/>
      <w:bCs/>
      <w:sz w:val="24"/>
      <w:lang w:val="en-US" w:eastAsia="zh-CN" w:bidi="ar-SA"/>
    </w:rPr>
  </w:style>
  <w:style w:type="paragraph" w:customStyle="1" w:styleId="75">
    <w:name w:val="Char Char Char Char Char Char1 Char"/>
    <w:basedOn w:val="1"/>
    <w:autoRedefine/>
    <w:qFormat/>
    <w:uiPriority w:val="0"/>
    <w:pPr>
      <w:widowControl/>
      <w:spacing w:after="160" w:line="240" w:lineRule="exact"/>
      <w:jc w:val="left"/>
    </w:pPr>
    <w:rPr>
      <w:rFonts w:ascii="Verdana" w:hAnsi="Verdana"/>
      <w:kern w:val="0"/>
      <w:szCs w:val="20"/>
      <w:lang w:eastAsia="en-US"/>
    </w:rPr>
  </w:style>
  <w:style w:type="paragraph" w:styleId="76">
    <w:name w:val="List Paragraph"/>
    <w:basedOn w:val="1"/>
    <w:autoRedefine/>
    <w:qFormat/>
    <w:uiPriority w:val="0"/>
    <w:pPr>
      <w:ind w:firstLine="420" w:firstLineChars="200"/>
    </w:pPr>
    <w:rPr>
      <w:rFonts w:ascii="Calibri" w:hAnsi="Calibri"/>
      <w:szCs w:val="22"/>
    </w:rPr>
  </w:style>
  <w:style w:type="paragraph" w:customStyle="1" w:styleId="77">
    <w:name w:val="USE 1"/>
    <w:basedOn w:val="1"/>
    <w:autoRedefine/>
    <w:qFormat/>
    <w:uiPriority w:val="0"/>
    <w:pPr>
      <w:spacing w:line="200" w:lineRule="atLeast"/>
      <w:jc w:val="left"/>
    </w:pPr>
    <w:rPr>
      <w:rFonts w:ascii="宋体" w:hAnsi="宋体"/>
      <w:b/>
      <w:sz w:val="24"/>
      <w:szCs w:val="28"/>
    </w:rPr>
  </w:style>
  <w:style w:type="paragraph" w:customStyle="1" w:styleId="78">
    <w:name w:val="RFI text from 3rd Level"/>
    <w:basedOn w:val="1"/>
    <w:autoRedefine/>
    <w:qFormat/>
    <w:uiPriority w:val="0"/>
    <w:pPr>
      <w:widowControl/>
      <w:numPr>
        <w:ilvl w:val="0"/>
        <w:numId w:val="3"/>
      </w:numPr>
      <w:tabs>
        <w:tab w:val="left" w:pos="1080"/>
        <w:tab w:val="clear" w:pos="840"/>
      </w:tabs>
      <w:spacing w:beforeLines="50" w:line="360" w:lineRule="auto"/>
      <w:ind w:left="0" w:firstLine="0"/>
    </w:pPr>
    <w:rPr>
      <w:rFonts w:ascii="Arial (W1)" w:hAnsi="Arial (W1)"/>
      <w:bCs/>
      <w:kern w:val="0"/>
      <w:sz w:val="24"/>
      <w:lang w:val="en-GB"/>
    </w:rPr>
  </w:style>
  <w:style w:type="paragraph" w:customStyle="1" w:styleId="79">
    <w:name w:val="正文文字缩进项目"/>
    <w:basedOn w:val="21"/>
    <w:autoRedefine/>
    <w:qFormat/>
    <w:uiPriority w:val="0"/>
    <w:pPr>
      <w:numPr>
        <w:ilvl w:val="1"/>
        <w:numId w:val="3"/>
      </w:numPr>
      <w:tabs>
        <w:tab w:val="left" w:pos="840"/>
        <w:tab w:val="clear" w:pos="1260"/>
      </w:tabs>
      <w:spacing w:after="120" w:line="240" w:lineRule="auto"/>
      <w:ind w:left="840" w:firstLine="0" w:firstLineChars="0"/>
    </w:pPr>
    <w:rPr>
      <w:rFonts w:ascii="Tahoma" w:hAnsi="Tahoma"/>
      <w:sz w:val="22"/>
      <w:szCs w:val="20"/>
    </w:rPr>
  </w:style>
  <w:style w:type="paragraph" w:customStyle="1" w:styleId="80">
    <w:name w:val="样式 标题 2 + 段前: 13 磅 段后: 13 磅 行距: 单倍行距"/>
    <w:basedOn w:val="4"/>
    <w:autoRedefine/>
    <w:qFormat/>
    <w:uiPriority w:val="0"/>
    <w:pPr>
      <w:adjustRightInd/>
      <w:spacing w:before="0" w:after="0"/>
      <w:jc w:val="both"/>
      <w:textAlignment w:val="auto"/>
    </w:pPr>
    <w:rPr>
      <w:rFonts w:ascii="Cambria" w:hAnsi="Cambria" w:cs="宋体"/>
      <w:kern w:val="2"/>
      <w:sz w:val="32"/>
    </w:rPr>
  </w:style>
  <w:style w:type="character" w:customStyle="1" w:styleId="81">
    <w:name w:val="H4 Char2"/>
    <w:autoRedefine/>
    <w:qFormat/>
    <w:uiPriority w:val="0"/>
    <w:rPr>
      <w:rFonts w:ascii="Arial" w:hAnsi="Arial" w:eastAsia="黑体"/>
      <w:b/>
      <w:bCs/>
      <w:kern w:val="2"/>
      <w:sz w:val="28"/>
      <w:szCs w:val="28"/>
      <w:lang w:val="en-US" w:eastAsia="zh-CN" w:bidi="ar-SA"/>
    </w:rPr>
  </w:style>
  <w:style w:type="character" w:customStyle="1" w:styleId="82">
    <w:name w:val="正文文本缩进 字符"/>
    <w:link w:val="21"/>
    <w:autoRedefine/>
    <w:qFormat/>
    <w:uiPriority w:val="0"/>
    <w:rPr>
      <w:rFonts w:eastAsia="宋体"/>
      <w:kern w:val="2"/>
      <w:sz w:val="21"/>
      <w:szCs w:val="24"/>
      <w:lang w:val="en-US" w:eastAsia="zh-CN" w:bidi="ar-SA"/>
    </w:rPr>
  </w:style>
  <w:style w:type="character" w:customStyle="1" w:styleId="83">
    <w:name w:val="标题 5 字符"/>
    <w:link w:val="7"/>
    <w:autoRedefine/>
    <w:qFormat/>
    <w:uiPriority w:val="0"/>
    <w:rPr>
      <w:rFonts w:eastAsia="宋体"/>
      <w:b/>
      <w:kern w:val="2"/>
      <w:sz w:val="28"/>
      <w:lang w:val="en-US" w:eastAsia="zh-CN" w:bidi="ar-SA"/>
    </w:rPr>
  </w:style>
  <w:style w:type="character" w:customStyle="1" w:styleId="84">
    <w:name w:val="第*章 Char"/>
    <w:autoRedefine/>
    <w:qFormat/>
    <w:uiPriority w:val="0"/>
    <w:rPr>
      <w:rFonts w:ascii="Arial" w:hAnsi="Arial" w:eastAsia="黑体"/>
      <w:b/>
      <w:bCs/>
      <w:kern w:val="2"/>
      <w:sz w:val="32"/>
      <w:szCs w:val="32"/>
    </w:rPr>
  </w:style>
  <w:style w:type="character" w:customStyle="1" w:styleId="85">
    <w:name w:val="章标题1 Char"/>
    <w:autoRedefine/>
    <w:qFormat/>
    <w:uiPriority w:val="0"/>
    <w:rPr>
      <w:rFonts w:eastAsia="宋体"/>
      <w:b/>
      <w:bCs/>
      <w:kern w:val="2"/>
      <w:sz w:val="32"/>
      <w:szCs w:val="32"/>
      <w:lang w:val="en-US" w:eastAsia="zh-CN" w:bidi="ar-SA"/>
    </w:rPr>
  </w:style>
  <w:style w:type="character" w:customStyle="1" w:styleId="86">
    <w:name w:val="标题 6 字符"/>
    <w:link w:val="9"/>
    <w:autoRedefine/>
    <w:qFormat/>
    <w:uiPriority w:val="0"/>
    <w:rPr>
      <w:rFonts w:ascii="Arial" w:hAnsi="Arial" w:eastAsia="黑体"/>
      <w:b/>
      <w:kern w:val="2"/>
      <w:sz w:val="24"/>
      <w:lang w:val="en-US" w:eastAsia="zh-CN" w:bidi="ar-SA"/>
    </w:rPr>
  </w:style>
  <w:style w:type="character" w:customStyle="1" w:styleId="87">
    <w:name w:val="标题 7 字符"/>
    <w:link w:val="10"/>
    <w:autoRedefine/>
    <w:qFormat/>
    <w:uiPriority w:val="0"/>
    <w:rPr>
      <w:rFonts w:eastAsia="宋体"/>
      <w:b/>
      <w:kern w:val="2"/>
      <w:sz w:val="24"/>
      <w:lang w:val="en-US" w:eastAsia="zh-CN" w:bidi="ar-SA"/>
    </w:rPr>
  </w:style>
  <w:style w:type="character" w:customStyle="1" w:styleId="88">
    <w:name w:val="标题 8 字符"/>
    <w:link w:val="11"/>
    <w:autoRedefine/>
    <w:qFormat/>
    <w:uiPriority w:val="0"/>
    <w:rPr>
      <w:rFonts w:ascii="Arial" w:hAnsi="Arial" w:eastAsia="黑体"/>
      <w:kern w:val="2"/>
      <w:sz w:val="24"/>
      <w:lang w:val="en-US" w:eastAsia="zh-CN" w:bidi="ar-SA"/>
    </w:rPr>
  </w:style>
  <w:style w:type="character" w:customStyle="1" w:styleId="89">
    <w:name w:val="标题 9 字符"/>
    <w:link w:val="12"/>
    <w:autoRedefine/>
    <w:qFormat/>
    <w:uiPriority w:val="0"/>
    <w:rPr>
      <w:rFonts w:ascii="Arial" w:hAnsi="Arial" w:eastAsia="黑体"/>
      <w:kern w:val="2"/>
      <w:sz w:val="21"/>
      <w:lang w:val="en-US" w:eastAsia="zh-CN" w:bidi="ar-SA"/>
    </w:rPr>
  </w:style>
  <w:style w:type="character" w:customStyle="1" w:styleId="90">
    <w:name w:val="标题 字符"/>
    <w:link w:val="41"/>
    <w:autoRedefine/>
    <w:qFormat/>
    <w:uiPriority w:val="0"/>
    <w:rPr>
      <w:rFonts w:ascii="Arial" w:hAnsi="Arial" w:eastAsia="隶书" w:cs="Arial"/>
      <w:b/>
      <w:bCs/>
      <w:kern w:val="2"/>
      <w:sz w:val="32"/>
      <w:szCs w:val="32"/>
      <w:lang w:val="en-US" w:eastAsia="zh-CN" w:bidi="ar-SA"/>
    </w:rPr>
  </w:style>
  <w:style w:type="character" w:customStyle="1" w:styleId="91">
    <w:name w:val="日期 字符"/>
    <w:link w:val="26"/>
    <w:autoRedefine/>
    <w:qFormat/>
    <w:uiPriority w:val="0"/>
    <w:rPr>
      <w:rFonts w:ascii="宋体" w:hAnsi="Courier New" w:eastAsia="宋体"/>
      <w:kern w:val="2"/>
      <w:sz w:val="32"/>
      <w:lang w:val="en-US" w:eastAsia="zh-CN" w:bidi="ar-SA"/>
    </w:rPr>
  </w:style>
  <w:style w:type="character" w:customStyle="1" w:styleId="92">
    <w:name w:val="HTML 预设格式 字符"/>
    <w:link w:val="39"/>
    <w:autoRedefine/>
    <w:qFormat/>
    <w:uiPriority w:val="0"/>
    <w:rPr>
      <w:rFonts w:ascii="Arial Unicode MS" w:hAnsi="Arial Unicode MS" w:eastAsia="Arial Unicode MS"/>
      <w:color w:val="000000"/>
      <w:lang w:val="en-US" w:eastAsia="zh-CN" w:bidi="ar-SA"/>
    </w:rPr>
  </w:style>
  <w:style w:type="character" w:customStyle="1" w:styleId="93">
    <w:name w:val="纯文本 字符"/>
    <w:link w:val="24"/>
    <w:autoRedefine/>
    <w:qFormat/>
    <w:uiPriority w:val="0"/>
    <w:rPr>
      <w:rFonts w:ascii="宋体" w:hAnsi="Courier New" w:eastAsia="宋体"/>
      <w:kern w:val="2"/>
      <w:sz w:val="21"/>
      <w:lang w:val="en-US" w:eastAsia="zh-CN" w:bidi="ar-SA"/>
    </w:rPr>
  </w:style>
  <w:style w:type="character" w:customStyle="1" w:styleId="94">
    <w:name w:val="正文文字首行缩进 Char"/>
    <w:autoRedefine/>
    <w:qFormat/>
    <w:uiPriority w:val="0"/>
    <w:rPr>
      <w:kern w:val="2"/>
      <w:sz w:val="21"/>
      <w:szCs w:val="24"/>
    </w:rPr>
  </w:style>
  <w:style w:type="character" w:customStyle="1" w:styleId="95">
    <w:name w:val="正文文本 字符"/>
    <w:link w:val="19"/>
    <w:autoRedefine/>
    <w:qFormat/>
    <w:uiPriority w:val="0"/>
    <w:rPr>
      <w:rFonts w:eastAsia="宋体"/>
      <w:b/>
      <w:bCs/>
      <w:kern w:val="2"/>
      <w:sz w:val="24"/>
      <w:szCs w:val="24"/>
      <w:lang w:val="en-US" w:eastAsia="zh-CN" w:bidi="ar-SA"/>
    </w:rPr>
  </w:style>
  <w:style w:type="character" w:customStyle="1" w:styleId="96">
    <w:name w:val="正文文本缩进 2 字符"/>
    <w:link w:val="27"/>
    <w:autoRedefine/>
    <w:qFormat/>
    <w:uiPriority w:val="0"/>
    <w:rPr>
      <w:rFonts w:ascii="宋体" w:hAnsi="宋体" w:eastAsia="宋体"/>
      <w:kern w:val="2"/>
      <w:sz w:val="21"/>
      <w:szCs w:val="24"/>
      <w:lang w:val="en-US" w:eastAsia="zh-CN" w:bidi="ar-SA"/>
    </w:rPr>
  </w:style>
  <w:style w:type="character" w:customStyle="1" w:styleId="97">
    <w:name w:val="页眉 字符"/>
    <w:link w:val="30"/>
    <w:autoRedefine/>
    <w:qFormat/>
    <w:uiPriority w:val="99"/>
    <w:rPr>
      <w:rFonts w:eastAsia="宋体"/>
      <w:kern w:val="2"/>
      <w:sz w:val="18"/>
      <w:szCs w:val="18"/>
      <w:lang w:val="en-US" w:eastAsia="zh-CN" w:bidi="ar-SA"/>
    </w:rPr>
  </w:style>
  <w:style w:type="character" w:customStyle="1" w:styleId="98">
    <w:name w:val="正文文本缩进 3 字符"/>
    <w:link w:val="36"/>
    <w:autoRedefine/>
    <w:qFormat/>
    <w:uiPriority w:val="0"/>
    <w:rPr>
      <w:rFonts w:ascii="宋体" w:eastAsia="宋体"/>
      <w:b/>
      <w:bCs/>
      <w:kern w:val="2"/>
      <w:sz w:val="24"/>
      <w:szCs w:val="24"/>
      <w:lang w:val="en-US" w:eastAsia="zh-CN" w:bidi="ar-SA"/>
    </w:rPr>
  </w:style>
  <w:style w:type="character" w:customStyle="1" w:styleId="99">
    <w:name w:val="正文文本 2 字符"/>
    <w:link w:val="20"/>
    <w:autoRedefine/>
    <w:qFormat/>
    <w:uiPriority w:val="0"/>
    <w:rPr>
      <w:rFonts w:eastAsia="宋体"/>
      <w:kern w:val="2"/>
      <w:sz w:val="24"/>
      <w:szCs w:val="24"/>
      <w:lang w:val="en-US" w:eastAsia="zh-CN" w:bidi="ar-SA"/>
    </w:rPr>
  </w:style>
  <w:style w:type="character" w:customStyle="1" w:styleId="100">
    <w:name w:val="页脚 字符"/>
    <w:link w:val="29"/>
    <w:autoRedefine/>
    <w:qFormat/>
    <w:uiPriority w:val="0"/>
    <w:rPr>
      <w:rFonts w:eastAsia="宋体"/>
      <w:kern w:val="2"/>
      <w:sz w:val="18"/>
      <w:szCs w:val="18"/>
      <w:lang w:val="en-US" w:eastAsia="zh-CN" w:bidi="ar-SA"/>
    </w:rPr>
  </w:style>
  <w:style w:type="character" w:customStyle="1" w:styleId="101">
    <w:name w:val="正文文本 3 字符"/>
    <w:link w:val="18"/>
    <w:autoRedefine/>
    <w:qFormat/>
    <w:uiPriority w:val="0"/>
    <w:rPr>
      <w:rFonts w:eastAsia="宋体"/>
      <w:kern w:val="2"/>
      <w:sz w:val="16"/>
      <w:szCs w:val="16"/>
      <w:lang w:val="en-US" w:eastAsia="zh-CN" w:bidi="ar-SA"/>
    </w:rPr>
  </w:style>
  <w:style w:type="character" w:customStyle="1" w:styleId="102">
    <w:name w:val="批注框文本 字符"/>
    <w:link w:val="28"/>
    <w:autoRedefine/>
    <w:semiHidden/>
    <w:qFormat/>
    <w:uiPriority w:val="99"/>
    <w:rPr>
      <w:rFonts w:eastAsia="宋体"/>
      <w:kern w:val="2"/>
      <w:sz w:val="18"/>
      <w:szCs w:val="18"/>
      <w:lang w:val="en-US" w:eastAsia="zh-CN" w:bidi="ar-SA"/>
    </w:rPr>
  </w:style>
  <w:style w:type="paragraph" w:customStyle="1" w:styleId="103">
    <w:name w:val="样式1"/>
    <w:basedOn w:val="41"/>
    <w:autoRedefine/>
    <w:qFormat/>
    <w:uiPriority w:val="0"/>
    <w:pPr>
      <w:spacing w:before="120" w:after="120"/>
    </w:pPr>
    <w:rPr>
      <w:rFonts w:eastAsia="黑体"/>
      <w:b w:val="0"/>
      <w:sz w:val="30"/>
      <w:szCs w:val="21"/>
    </w:rPr>
  </w:style>
  <w:style w:type="paragraph" w:customStyle="1" w:styleId="104">
    <w:name w:val="样式2"/>
    <w:basedOn w:val="41"/>
    <w:next w:val="103"/>
    <w:autoRedefine/>
    <w:qFormat/>
    <w:uiPriority w:val="0"/>
    <w:pPr>
      <w:spacing w:before="120" w:after="120"/>
    </w:pPr>
    <w:rPr>
      <w:rFonts w:eastAsia="黑体"/>
      <w:b w:val="0"/>
      <w:sz w:val="30"/>
      <w:szCs w:val="30"/>
    </w:rPr>
  </w:style>
  <w:style w:type="character" w:customStyle="1" w:styleId="105">
    <w:name w:val="标题 3 Char Char"/>
    <w:autoRedefine/>
    <w:qFormat/>
    <w:uiPriority w:val="0"/>
    <w:rPr>
      <w:rFonts w:eastAsia="宋体"/>
      <w:b/>
      <w:bCs/>
      <w:kern w:val="2"/>
      <w:sz w:val="32"/>
      <w:szCs w:val="32"/>
      <w:lang w:val="en-US" w:eastAsia="zh-CN" w:bidi="ar-SA"/>
    </w:rPr>
  </w:style>
  <w:style w:type="paragraph" w:customStyle="1" w:styleId="106">
    <w:name w:val="Char Char Char Char Char Char1 Char Char Char Char Char Char Char Char Char Char Char Char Char"/>
    <w:basedOn w:val="1"/>
    <w:autoRedefine/>
    <w:qFormat/>
    <w:uiPriority w:val="0"/>
    <w:pPr>
      <w:widowControl/>
      <w:spacing w:after="160" w:line="240" w:lineRule="exact"/>
      <w:jc w:val="left"/>
    </w:pPr>
    <w:rPr>
      <w:rFonts w:ascii="Arial" w:hAnsi="Arial" w:eastAsia="Times New Roman" w:cs="Verdana"/>
      <w:b/>
      <w:kern w:val="0"/>
      <w:sz w:val="24"/>
      <w:lang w:eastAsia="en-US"/>
    </w:rPr>
  </w:style>
  <w:style w:type="paragraph" w:customStyle="1" w:styleId="107">
    <w:name w:val="cont"/>
    <w:basedOn w:val="1"/>
    <w:autoRedefine/>
    <w:qFormat/>
    <w:uiPriority w:val="0"/>
    <w:pPr>
      <w:adjustRightInd w:val="0"/>
      <w:spacing w:before="100" w:after="100" w:line="360" w:lineRule="auto"/>
      <w:ind w:firstLine="200" w:firstLineChars="200"/>
      <w:jc w:val="left"/>
      <w:textAlignment w:val="baseline"/>
    </w:pPr>
    <w:rPr>
      <w:rFonts w:ascii="Arial" w:hAnsi="Arial"/>
      <w:kern w:val="0"/>
      <w:sz w:val="24"/>
      <w:szCs w:val="20"/>
    </w:rPr>
  </w:style>
  <w:style w:type="paragraph" w:customStyle="1" w:styleId="108">
    <w:name w:val="--规划正文"/>
    <w:basedOn w:val="1"/>
    <w:autoRedefine/>
    <w:qFormat/>
    <w:uiPriority w:val="0"/>
    <w:pPr>
      <w:spacing w:line="360" w:lineRule="auto"/>
      <w:ind w:firstLine="200" w:firstLineChars="200"/>
    </w:pPr>
    <w:rPr>
      <w:szCs w:val="20"/>
    </w:rPr>
  </w:style>
  <w:style w:type="paragraph" w:customStyle="1" w:styleId="109">
    <w:name w:val="设计依据"/>
    <w:basedOn w:val="19"/>
    <w:autoRedefine/>
    <w:qFormat/>
    <w:uiPriority w:val="0"/>
    <w:pPr>
      <w:numPr>
        <w:ilvl w:val="1"/>
        <w:numId w:val="4"/>
      </w:numPr>
      <w:tabs>
        <w:tab w:val="left" w:pos="1440"/>
        <w:tab w:val="clear" w:pos="840"/>
      </w:tabs>
      <w:adjustRightInd w:val="0"/>
      <w:ind w:left="1440"/>
      <w:textAlignment w:val="baseline"/>
    </w:pPr>
    <w:rPr>
      <w:rFonts w:ascii="宋体" w:hAnsi="宋体"/>
      <w:b w:val="0"/>
      <w:kern w:val="0"/>
      <w:sz w:val="28"/>
      <w:szCs w:val="18"/>
    </w:rPr>
  </w:style>
  <w:style w:type="paragraph" w:customStyle="1" w:styleId="110">
    <w:name w:val="方案要点"/>
    <w:basedOn w:val="1"/>
    <w:autoRedefine/>
    <w:qFormat/>
    <w:uiPriority w:val="0"/>
    <w:pPr>
      <w:numPr>
        <w:ilvl w:val="0"/>
        <w:numId w:val="4"/>
      </w:numPr>
      <w:spacing w:line="360" w:lineRule="auto"/>
    </w:pPr>
    <w:rPr>
      <w:rFonts w:ascii="仿宋_GB2312" w:hAnsi="宋体" w:eastAsia="仿宋_GB2312"/>
      <w:color w:val="000000"/>
      <w:sz w:val="28"/>
      <w:szCs w:val="28"/>
    </w:rPr>
  </w:style>
  <w:style w:type="paragraph" w:customStyle="1" w:styleId="111">
    <w:name w:val="样式4"/>
    <w:basedOn w:val="1"/>
    <w:autoRedefine/>
    <w:qFormat/>
    <w:uiPriority w:val="0"/>
    <w:pPr>
      <w:tabs>
        <w:tab w:val="left" w:pos="842"/>
      </w:tabs>
      <w:spacing w:line="360" w:lineRule="auto"/>
      <w:ind w:left="842" w:hanging="420"/>
    </w:pPr>
    <w:rPr>
      <w:sz w:val="24"/>
    </w:rPr>
  </w:style>
  <w:style w:type="paragraph" w:customStyle="1" w:styleId="112">
    <w:name w:val="文字"/>
    <w:basedOn w:val="1"/>
    <w:autoRedefine/>
    <w:qFormat/>
    <w:uiPriority w:val="0"/>
    <w:pPr>
      <w:tabs>
        <w:tab w:val="left" w:pos="8520"/>
      </w:tabs>
      <w:spacing w:line="312" w:lineRule="auto"/>
      <w:ind w:right="-210" w:firstLine="556"/>
    </w:pPr>
    <w:rPr>
      <w:rFonts w:ascii="宋体"/>
      <w:sz w:val="28"/>
      <w:szCs w:val="20"/>
    </w:rPr>
  </w:style>
  <w:style w:type="paragraph" w:customStyle="1" w:styleId="113">
    <w:name w:val="--规划-表格-居左"/>
    <w:basedOn w:val="108"/>
    <w:autoRedefine/>
    <w:qFormat/>
    <w:uiPriority w:val="0"/>
    <w:pPr>
      <w:spacing w:line="240" w:lineRule="auto"/>
      <w:ind w:firstLine="0" w:firstLineChars="0"/>
    </w:pPr>
    <w:rPr>
      <w:sz w:val="20"/>
    </w:rPr>
  </w:style>
  <w:style w:type="paragraph" w:customStyle="1" w:styleId="114">
    <w:name w:val="--规划-表格-居中"/>
    <w:basedOn w:val="108"/>
    <w:autoRedefine/>
    <w:qFormat/>
    <w:uiPriority w:val="0"/>
    <w:pPr>
      <w:spacing w:line="240" w:lineRule="auto"/>
      <w:ind w:firstLine="0" w:firstLineChars="0"/>
      <w:jc w:val="center"/>
    </w:pPr>
    <w:rPr>
      <w:sz w:val="20"/>
    </w:rPr>
  </w:style>
  <w:style w:type="paragraph" w:customStyle="1" w:styleId="115">
    <w:name w:val="--编号内缩进"/>
    <w:basedOn w:val="1"/>
    <w:autoRedefine/>
    <w:qFormat/>
    <w:uiPriority w:val="0"/>
    <w:pPr>
      <w:spacing w:line="360" w:lineRule="auto"/>
      <w:ind w:left="420" w:firstLine="200" w:firstLineChars="200"/>
    </w:pPr>
    <w:rPr>
      <w:szCs w:val="21"/>
    </w:rPr>
  </w:style>
  <w:style w:type="paragraph" w:customStyle="1" w:styleId="116">
    <w:name w:val="--规划-题注"/>
    <w:basedOn w:val="1"/>
    <w:next w:val="108"/>
    <w:autoRedefine/>
    <w:qFormat/>
    <w:uiPriority w:val="0"/>
    <w:pPr>
      <w:spacing w:line="360" w:lineRule="auto"/>
      <w:jc w:val="center"/>
    </w:pPr>
    <w:rPr>
      <w:rFonts w:eastAsia="黑体"/>
    </w:rPr>
  </w:style>
  <w:style w:type="paragraph" w:customStyle="1" w:styleId="117">
    <w:name w:val="--规划-图和表"/>
    <w:next w:val="108"/>
    <w:autoRedefine/>
    <w:qFormat/>
    <w:uiPriority w:val="0"/>
    <w:pPr>
      <w:jc w:val="center"/>
    </w:pPr>
    <w:rPr>
      <w:rFonts w:ascii="Times New Roman" w:hAnsi="Times New Roman" w:eastAsia="宋体" w:cs="Times New Roman"/>
      <w:kern w:val="2"/>
      <w:sz w:val="21"/>
      <w:lang w:val="en-US" w:eastAsia="zh-CN" w:bidi="ar-SA"/>
    </w:rPr>
  </w:style>
  <w:style w:type="paragraph" w:customStyle="1" w:styleId="118">
    <w:name w:val="--规划-小标题"/>
    <w:basedOn w:val="1"/>
    <w:next w:val="108"/>
    <w:autoRedefine/>
    <w:qFormat/>
    <w:uiPriority w:val="0"/>
    <w:pPr>
      <w:keepNext/>
      <w:keepLines/>
      <w:spacing w:line="360" w:lineRule="auto"/>
      <w:outlineLvl w:val="4"/>
    </w:pPr>
    <w:rPr>
      <w:rFonts w:eastAsia="黑体"/>
    </w:rPr>
  </w:style>
  <w:style w:type="paragraph" w:customStyle="1" w:styleId="119">
    <w:name w:val="--规划正文 Char"/>
    <w:basedOn w:val="1"/>
    <w:autoRedefine/>
    <w:qFormat/>
    <w:uiPriority w:val="0"/>
    <w:pPr>
      <w:spacing w:line="360" w:lineRule="auto"/>
      <w:ind w:firstLine="200" w:firstLineChars="200"/>
    </w:pPr>
    <w:rPr>
      <w:sz w:val="24"/>
    </w:rPr>
  </w:style>
  <w:style w:type="paragraph" w:customStyle="1" w:styleId="120">
    <w:name w:val="缺省文本"/>
    <w:basedOn w:val="1"/>
    <w:autoRedefine/>
    <w:qFormat/>
    <w:uiPriority w:val="0"/>
    <w:pPr>
      <w:autoSpaceDE w:val="0"/>
      <w:autoSpaceDN w:val="0"/>
      <w:adjustRightInd w:val="0"/>
      <w:jc w:val="left"/>
    </w:pPr>
    <w:rPr>
      <w:kern w:val="0"/>
    </w:rPr>
  </w:style>
  <w:style w:type="paragraph" w:customStyle="1" w:styleId="121">
    <w:name w:val="封面文档标题"/>
    <w:basedOn w:val="1"/>
    <w:autoRedefine/>
    <w:qFormat/>
    <w:uiPriority w:val="0"/>
    <w:pPr>
      <w:autoSpaceDE w:val="0"/>
      <w:autoSpaceDN w:val="0"/>
      <w:adjustRightInd w:val="0"/>
      <w:spacing w:line="360" w:lineRule="auto"/>
      <w:jc w:val="center"/>
    </w:pPr>
    <w:rPr>
      <w:rFonts w:ascii="Arial" w:hAnsi="Arial"/>
      <w:b/>
      <w:kern w:val="0"/>
      <w:sz w:val="56"/>
    </w:rPr>
  </w:style>
  <w:style w:type="character" w:customStyle="1" w:styleId="122">
    <w:name w:val="--规划正文 Char Char"/>
    <w:autoRedefine/>
    <w:qFormat/>
    <w:uiPriority w:val="0"/>
    <w:rPr>
      <w:rFonts w:eastAsia="宋体"/>
      <w:kern w:val="2"/>
      <w:sz w:val="24"/>
      <w:szCs w:val="24"/>
      <w:lang w:val="en-US" w:eastAsia="zh-CN" w:bidi="ar-SA"/>
    </w:rPr>
  </w:style>
  <w:style w:type="paragraph" w:customStyle="1" w:styleId="123">
    <w:name w:val="样式3"/>
    <w:basedOn w:val="3"/>
    <w:autoRedefine/>
    <w:qFormat/>
    <w:uiPriority w:val="0"/>
    <w:pPr>
      <w:numPr>
        <w:ilvl w:val="0"/>
        <w:numId w:val="5"/>
      </w:numPr>
      <w:spacing w:before="240" w:after="240" w:line="480" w:lineRule="auto"/>
      <w:ind w:right="210" w:rightChars="100"/>
      <w:jc w:val="left"/>
    </w:pPr>
    <w:rPr>
      <w:rFonts w:ascii="Times New Roman" w:hAnsi="Times New Roman"/>
      <w:sz w:val="32"/>
    </w:rPr>
  </w:style>
  <w:style w:type="character" w:customStyle="1" w:styleId="124">
    <w:name w:val="--规划正文 Char1"/>
    <w:autoRedefine/>
    <w:qFormat/>
    <w:uiPriority w:val="0"/>
    <w:rPr>
      <w:rFonts w:eastAsia="宋体"/>
      <w:kern w:val="2"/>
      <w:sz w:val="21"/>
      <w:lang w:val="en-US" w:eastAsia="zh-CN" w:bidi="ar-SA"/>
    </w:rPr>
  </w:style>
  <w:style w:type="paragraph" w:customStyle="1" w:styleId="125">
    <w:name w:val="word"/>
    <w:basedOn w:val="1"/>
    <w:autoRedefine/>
    <w:qFormat/>
    <w:uiPriority w:val="0"/>
    <w:pPr>
      <w:widowControl/>
      <w:spacing w:before="100" w:beforeAutospacing="1" w:after="100" w:afterAutospacing="1" w:line="301" w:lineRule="atLeast"/>
      <w:jc w:val="left"/>
    </w:pPr>
    <w:rPr>
      <w:rFonts w:ascii="ˎ̥" w:hAnsi="ˎ̥"/>
      <w:color w:val="000000"/>
      <w:kern w:val="0"/>
      <w:sz w:val="20"/>
      <w:szCs w:val="20"/>
    </w:rPr>
  </w:style>
  <w:style w:type="paragraph" w:customStyle="1" w:styleId="126">
    <w:name w:val="列表项目"/>
    <w:basedOn w:val="1"/>
    <w:autoRedefine/>
    <w:qFormat/>
    <w:uiPriority w:val="0"/>
    <w:pPr>
      <w:tabs>
        <w:tab w:val="left" w:pos="420"/>
        <w:tab w:val="left" w:pos="1080"/>
      </w:tabs>
      <w:spacing w:line="288" w:lineRule="auto"/>
      <w:ind w:left="1080" w:hanging="360"/>
    </w:pPr>
    <w:rPr>
      <w:sz w:val="24"/>
      <w:szCs w:val="20"/>
    </w:rPr>
  </w:style>
  <w:style w:type="character" w:customStyle="1" w:styleId="127">
    <w:name w:val="content1"/>
    <w:autoRedefine/>
    <w:qFormat/>
    <w:uiPriority w:val="0"/>
    <w:rPr>
      <w:rFonts w:hint="default" w:ascii="??" w:hAnsi="??"/>
      <w:sz w:val="16"/>
      <w:szCs w:val="16"/>
      <w:u w:val="none"/>
    </w:rPr>
  </w:style>
  <w:style w:type="character" w:customStyle="1" w:styleId="128">
    <w:name w:val="unnamed4"/>
    <w:basedOn w:val="48"/>
    <w:autoRedefine/>
    <w:qFormat/>
    <w:uiPriority w:val="0"/>
  </w:style>
  <w:style w:type="character" w:customStyle="1" w:styleId="129">
    <w:name w:val="font2"/>
    <w:basedOn w:val="48"/>
    <w:autoRedefine/>
    <w:qFormat/>
    <w:uiPriority w:val="0"/>
  </w:style>
  <w:style w:type="character" w:customStyle="1" w:styleId="130">
    <w:name w:val="font41"/>
    <w:autoRedefine/>
    <w:qFormat/>
    <w:uiPriority w:val="0"/>
    <w:rPr>
      <w:color w:val="000000"/>
      <w:spacing w:val="260"/>
      <w:sz w:val="18"/>
      <w:szCs w:val="18"/>
      <w:u w:val="none"/>
    </w:rPr>
  </w:style>
  <w:style w:type="paragraph" w:customStyle="1" w:styleId="131">
    <w:name w:val="正文(首行缩进)"/>
    <w:autoRedefine/>
    <w:qFormat/>
    <w:uiPriority w:val="0"/>
    <w:pPr>
      <w:spacing w:line="360" w:lineRule="auto"/>
      <w:ind w:firstLine="488" w:firstLineChars="200"/>
      <w:jc w:val="both"/>
    </w:pPr>
    <w:rPr>
      <w:rFonts w:ascii="Times New Roman" w:hAnsi="Times New Roman" w:eastAsia="仿宋_GB2312" w:cs="Times New Roman"/>
      <w:spacing w:val="2"/>
      <w:sz w:val="24"/>
      <w:szCs w:val="24"/>
      <w:lang w:val="en-US" w:eastAsia="zh-CN" w:bidi="ar-SA"/>
    </w:rPr>
  </w:style>
  <w:style w:type="paragraph" w:customStyle="1" w:styleId="132">
    <w:name w:val="xl72"/>
    <w:basedOn w:val="1"/>
    <w:autoRedefine/>
    <w:qFormat/>
    <w:uiPriority w:val="0"/>
    <w:pPr>
      <w:widowControl/>
      <w:spacing w:before="100" w:beforeAutospacing="1" w:after="100" w:afterAutospacing="1"/>
      <w:jc w:val="left"/>
    </w:pPr>
    <w:rPr>
      <w:rFonts w:ascii="宋体" w:hAnsi="宋体"/>
      <w:b/>
      <w:bCs/>
      <w:kern w:val="0"/>
      <w:sz w:val="28"/>
      <w:szCs w:val="28"/>
    </w:rPr>
  </w:style>
  <w:style w:type="character" w:customStyle="1" w:styleId="133">
    <w:name w:val="正文文本首行缩进 字符"/>
    <w:link w:val="43"/>
    <w:autoRedefine/>
    <w:qFormat/>
    <w:uiPriority w:val="0"/>
    <w:rPr>
      <w:rFonts w:eastAsia="宋体"/>
      <w:b/>
      <w:bCs/>
      <w:kern w:val="2"/>
      <w:sz w:val="21"/>
      <w:szCs w:val="24"/>
      <w:lang w:val="en-US" w:eastAsia="zh-CN" w:bidi="ar-SA"/>
    </w:rPr>
  </w:style>
  <w:style w:type="paragraph" w:customStyle="1" w:styleId="134">
    <w:name w:val="正文(首行缩进) Char"/>
    <w:autoRedefine/>
    <w:qFormat/>
    <w:uiPriority w:val="0"/>
    <w:pPr>
      <w:spacing w:before="120" w:after="60" w:line="360" w:lineRule="auto"/>
      <w:ind w:firstLine="200" w:firstLineChars="200"/>
    </w:pPr>
    <w:rPr>
      <w:rFonts w:ascii="Times New Roman" w:hAnsi="Times New Roman" w:eastAsia="仿宋_GB2312" w:cs="Times New Roman"/>
      <w:spacing w:val="2"/>
      <w:kern w:val="24"/>
      <w:sz w:val="24"/>
      <w:szCs w:val="24"/>
      <w:lang w:val="en-US" w:eastAsia="zh-CN" w:bidi="ar-SA"/>
    </w:rPr>
  </w:style>
  <w:style w:type="paragraph" w:customStyle="1" w:styleId="135">
    <w:name w:val="汉议细等线简8"/>
    <w:autoRedefine/>
    <w:qFormat/>
    <w:uiPriority w:val="0"/>
    <w:pPr>
      <w:widowControl w:val="0"/>
      <w:autoSpaceDE w:val="0"/>
      <w:autoSpaceDN w:val="0"/>
      <w:adjustRightInd w:val="0"/>
      <w:spacing w:line="260" w:lineRule="atLeast"/>
      <w:jc w:val="both"/>
    </w:pPr>
    <w:rPr>
      <w:rFonts w:ascii="汉仪细等线简" w:hAnsi="Times New Roman" w:eastAsia="汉仪细等线简" w:cs="Times New Roman"/>
      <w:color w:val="000000"/>
      <w:sz w:val="16"/>
      <w:szCs w:val="16"/>
      <w:lang w:val="en-US" w:eastAsia="zh-CN" w:bidi="ar-SA"/>
    </w:rPr>
  </w:style>
  <w:style w:type="paragraph" w:customStyle="1" w:styleId="136">
    <w:name w:val="汉仪细等线简9BOLD"/>
    <w:basedOn w:val="1"/>
    <w:autoRedefine/>
    <w:qFormat/>
    <w:uiPriority w:val="0"/>
    <w:pPr>
      <w:autoSpaceDE w:val="0"/>
      <w:autoSpaceDN w:val="0"/>
      <w:adjustRightInd w:val="0"/>
      <w:spacing w:line="240" w:lineRule="atLeast"/>
    </w:pPr>
    <w:rPr>
      <w:rFonts w:ascii="汉仪细等线简" w:eastAsia="汉仪细等线简"/>
      <w:b/>
      <w:bCs/>
      <w:kern w:val="0"/>
      <w:sz w:val="18"/>
      <w:szCs w:val="18"/>
    </w:rPr>
  </w:style>
  <w:style w:type="character" w:customStyle="1" w:styleId="137">
    <w:name w:val="mode"/>
    <w:basedOn w:val="48"/>
    <w:autoRedefine/>
    <w:qFormat/>
    <w:uiPriority w:val="0"/>
  </w:style>
  <w:style w:type="paragraph" w:customStyle="1" w:styleId="138">
    <w:name w:val="9"/>
    <w:basedOn w:val="1"/>
    <w:next w:val="8"/>
    <w:autoRedefine/>
    <w:qFormat/>
    <w:uiPriority w:val="0"/>
    <w:pPr>
      <w:autoSpaceDE w:val="0"/>
      <w:autoSpaceDN w:val="0"/>
      <w:adjustRightInd w:val="0"/>
      <w:ind w:firstLine="420"/>
      <w:jc w:val="left"/>
      <w:textAlignment w:val="baseline"/>
    </w:pPr>
    <w:rPr>
      <w:rFonts w:ascii="宋体"/>
      <w:kern w:val="0"/>
      <w:sz w:val="34"/>
      <w:szCs w:val="20"/>
    </w:rPr>
  </w:style>
  <w:style w:type="character" w:customStyle="1" w:styleId="139">
    <w:name w:val="unnamed3"/>
    <w:basedOn w:val="48"/>
    <w:autoRedefine/>
    <w:qFormat/>
    <w:uiPriority w:val="0"/>
  </w:style>
  <w:style w:type="paragraph" w:customStyle="1" w:styleId="140">
    <w:name w:val="8"/>
    <w:basedOn w:val="1"/>
    <w:next w:val="21"/>
    <w:autoRedefine/>
    <w:qFormat/>
    <w:uiPriority w:val="0"/>
    <w:pPr>
      <w:spacing w:after="120"/>
      <w:ind w:left="420" w:leftChars="200"/>
    </w:pPr>
  </w:style>
  <w:style w:type="paragraph" w:customStyle="1" w:styleId="141">
    <w:name w:val="7"/>
    <w:basedOn w:val="1"/>
    <w:autoRedefine/>
    <w:qFormat/>
    <w:uiPriority w:val="0"/>
    <w:pPr>
      <w:autoSpaceDE w:val="0"/>
      <w:autoSpaceDN w:val="0"/>
      <w:adjustRightInd w:val="0"/>
      <w:spacing w:line="270" w:lineRule="atLeast"/>
      <w:jc w:val="left"/>
    </w:pPr>
    <w:rPr>
      <w:rFonts w:ascii="宋体"/>
      <w:kern w:val="0"/>
      <w:sz w:val="18"/>
      <w:szCs w:val="18"/>
    </w:rPr>
  </w:style>
  <w:style w:type="paragraph" w:customStyle="1" w:styleId="142">
    <w:name w:val="00"/>
    <w:basedOn w:val="1"/>
    <w:autoRedefine/>
    <w:qFormat/>
    <w:uiPriority w:val="0"/>
    <w:pPr>
      <w:autoSpaceDE w:val="0"/>
      <w:autoSpaceDN w:val="0"/>
      <w:adjustRightInd w:val="0"/>
      <w:jc w:val="left"/>
    </w:pPr>
    <w:rPr>
      <w:rFonts w:ascii="黑体" w:eastAsia="黑体"/>
      <w:b/>
      <w:bCs/>
      <w:kern w:val="0"/>
      <w:sz w:val="20"/>
      <w:szCs w:val="20"/>
    </w:rPr>
  </w:style>
  <w:style w:type="paragraph" w:customStyle="1" w:styleId="143">
    <w:name w:val="5"/>
    <w:basedOn w:val="1"/>
    <w:autoRedefine/>
    <w:qFormat/>
    <w:uiPriority w:val="0"/>
    <w:pPr>
      <w:autoSpaceDE w:val="0"/>
      <w:autoSpaceDN w:val="0"/>
      <w:adjustRightInd w:val="0"/>
      <w:jc w:val="left"/>
    </w:pPr>
    <w:rPr>
      <w:rFonts w:ascii="宋体"/>
      <w:b/>
      <w:bCs/>
      <w:kern w:val="0"/>
      <w:sz w:val="18"/>
      <w:szCs w:val="18"/>
    </w:rPr>
  </w:style>
  <w:style w:type="paragraph" w:customStyle="1" w:styleId="144">
    <w:name w:val="6"/>
    <w:basedOn w:val="143"/>
    <w:autoRedefine/>
    <w:qFormat/>
    <w:uiPriority w:val="0"/>
    <w:pPr>
      <w:spacing w:line="270" w:lineRule="atLeast"/>
      <w:jc w:val="both"/>
    </w:pPr>
    <w:rPr>
      <w:b w:val="0"/>
      <w:bCs w:val="0"/>
    </w:rPr>
  </w:style>
  <w:style w:type="paragraph" w:customStyle="1" w:styleId="145">
    <w:name w:val="产品描述"/>
    <w:autoRedefine/>
    <w:qFormat/>
    <w:uiPriority w:val="0"/>
    <w:pPr>
      <w:widowControl w:val="0"/>
      <w:autoSpaceDE w:val="0"/>
      <w:autoSpaceDN w:val="0"/>
      <w:adjustRightInd w:val="0"/>
      <w:spacing w:line="270" w:lineRule="atLeast"/>
      <w:ind w:firstLine="397"/>
      <w:jc w:val="both"/>
    </w:pPr>
    <w:rPr>
      <w:rFonts w:ascii="宋体" w:hAnsi="Times New Roman" w:eastAsia="宋体" w:cs="Times New Roman"/>
      <w:sz w:val="18"/>
      <w:szCs w:val="18"/>
      <w:lang w:val="en-US" w:eastAsia="zh-CN" w:bidi="ar-SA"/>
    </w:rPr>
  </w:style>
  <w:style w:type="paragraph" w:customStyle="1" w:styleId="146">
    <w:name w:val="姜文清定义的正文"/>
    <w:basedOn w:val="1"/>
    <w:autoRedefine/>
    <w:qFormat/>
    <w:uiPriority w:val="0"/>
    <w:pPr>
      <w:spacing w:line="240" w:lineRule="atLeast"/>
      <w:ind w:firstLine="567"/>
    </w:pPr>
    <w:rPr>
      <w:szCs w:val="20"/>
    </w:rPr>
  </w:style>
  <w:style w:type="paragraph" w:customStyle="1" w:styleId="147">
    <w:name w:val="Default"/>
    <w:autoRedefine/>
    <w:qFormat/>
    <w:uiPriority w:val="0"/>
    <w:pPr>
      <w:widowControl w:val="0"/>
      <w:autoSpaceDE w:val="0"/>
      <w:autoSpaceDN w:val="0"/>
      <w:adjustRightInd w:val="0"/>
    </w:pPr>
    <w:rPr>
      <w:rFonts w:ascii="H Yb 2gj" w:hAnsi="Times New Roman" w:eastAsia="H Yb 2gj" w:cs="H Yb 2gj"/>
      <w:color w:val="000000"/>
      <w:sz w:val="24"/>
      <w:szCs w:val="24"/>
      <w:lang w:val="en-US" w:eastAsia="zh-CN" w:bidi="ar-SA"/>
    </w:rPr>
  </w:style>
  <w:style w:type="paragraph" w:customStyle="1" w:styleId="148">
    <w:name w:val="CM2"/>
    <w:basedOn w:val="147"/>
    <w:next w:val="147"/>
    <w:autoRedefine/>
    <w:qFormat/>
    <w:uiPriority w:val="0"/>
    <w:pPr>
      <w:spacing w:line="200" w:lineRule="atLeast"/>
    </w:pPr>
    <w:rPr>
      <w:rFonts w:ascii="Arial" w:hAnsi="Arial" w:eastAsia="宋体" w:cs="Times New Roman"/>
      <w:color w:val="auto"/>
    </w:rPr>
  </w:style>
  <w:style w:type="paragraph" w:customStyle="1" w:styleId="149">
    <w:name w:val="Normal Paragraph"/>
    <w:basedOn w:val="1"/>
    <w:autoRedefine/>
    <w:qFormat/>
    <w:uiPriority w:val="0"/>
    <w:pPr>
      <w:widowControl/>
      <w:spacing w:before="120" w:line="360" w:lineRule="auto"/>
      <w:ind w:firstLine="425"/>
    </w:pPr>
    <w:rPr>
      <w:kern w:val="0"/>
      <w:sz w:val="24"/>
    </w:rPr>
  </w:style>
  <w:style w:type="character" w:customStyle="1" w:styleId="150">
    <w:name w:val="blue"/>
    <w:basedOn w:val="48"/>
    <w:autoRedefine/>
    <w:qFormat/>
    <w:uiPriority w:val="0"/>
  </w:style>
  <w:style w:type="paragraph" w:customStyle="1" w:styleId="151">
    <w:name w:val="blue1"/>
    <w:basedOn w:val="1"/>
    <w:autoRedefine/>
    <w:qFormat/>
    <w:uiPriority w:val="0"/>
    <w:pPr>
      <w:widowControl/>
      <w:spacing w:before="100" w:beforeAutospacing="1" w:after="100" w:afterAutospacing="1"/>
      <w:jc w:val="left"/>
    </w:pPr>
    <w:rPr>
      <w:rFonts w:ascii="宋体" w:hAnsi="宋体" w:cs="宋体"/>
      <w:kern w:val="0"/>
      <w:sz w:val="24"/>
    </w:rPr>
  </w:style>
  <w:style w:type="character" w:customStyle="1" w:styleId="152">
    <w:name w:val="font"/>
    <w:basedOn w:val="48"/>
    <w:autoRedefine/>
    <w:qFormat/>
    <w:uiPriority w:val="0"/>
  </w:style>
  <w:style w:type="character" w:customStyle="1" w:styleId="153">
    <w:name w:val="font11"/>
    <w:autoRedefine/>
    <w:qFormat/>
    <w:uiPriority w:val="0"/>
    <w:rPr>
      <w:rFonts w:hint="default" w:ascii="ˎ̥" w:hAnsi="ˎ̥"/>
    </w:rPr>
  </w:style>
  <w:style w:type="paragraph" w:customStyle="1" w:styleId="154">
    <w:name w:val="a14"/>
    <w:basedOn w:val="1"/>
    <w:autoRedefine/>
    <w:qFormat/>
    <w:uiPriority w:val="0"/>
    <w:pPr>
      <w:widowControl/>
      <w:spacing w:before="100" w:beforeAutospacing="1" w:after="100" w:afterAutospacing="1" w:line="300" w:lineRule="atLeast"/>
      <w:ind w:firstLine="375"/>
      <w:jc w:val="left"/>
    </w:pPr>
    <w:rPr>
      <w:rFonts w:ascii="宋体" w:hAnsi="宋体" w:cs="宋体"/>
      <w:kern w:val="0"/>
      <w:szCs w:val="21"/>
    </w:rPr>
  </w:style>
  <w:style w:type="character" w:customStyle="1" w:styleId="155">
    <w:name w:val="proddescription"/>
    <w:basedOn w:val="48"/>
    <w:autoRedefine/>
    <w:qFormat/>
    <w:uiPriority w:val="0"/>
  </w:style>
  <w:style w:type="character" w:customStyle="1" w:styleId="156">
    <w:name w:val="prodheadlines"/>
    <w:basedOn w:val="48"/>
    <w:autoRedefine/>
    <w:qFormat/>
    <w:uiPriority w:val="0"/>
  </w:style>
  <w:style w:type="character" w:customStyle="1" w:styleId="157">
    <w:name w:val="text"/>
    <w:basedOn w:val="48"/>
    <w:autoRedefine/>
    <w:qFormat/>
    <w:uiPriority w:val="0"/>
  </w:style>
  <w:style w:type="paragraph" w:customStyle="1" w:styleId="158">
    <w:name w:val="text1"/>
    <w:basedOn w:val="1"/>
    <w:autoRedefine/>
    <w:qFormat/>
    <w:uiPriority w:val="0"/>
    <w:pPr>
      <w:widowControl/>
      <w:spacing w:before="100" w:beforeAutospacing="1" w:after="100" w:afterAutospacing="1"/>
      <w:jc w:val="left"/>
    </w:pPr>
    <w:rPr>
      <w:rFonts w:ascii="宋体" w:hAnsi="宋体" w:cs="宋体"/>
      <w:kern w:val="0"/>
      <w:sz w:val="24"/>
    </w:rPr>
  </w:style>
  <w:style w:type="paragraph" w:customStyle="1" w:styleId="159">
    <w:name w:val="z-窗体顶端1"/>
    <w:basedOn w:val="1"/>
    <w:next w:val="1"/>
    <w:autoRedefine/>
    <w:hidden/>
    <w:qFormat/>
    <w:uiPriority w:val="0"/>
    <w:pPr>
      <w:widowControl/>
      <w:pBdr>
        <w:bottom w:val="single" w:color="auto" w:sz="6" w:space="1"/>
      </w:pBdr>
      <w:jc w:val="center"/>
    </w:pPr>
    <w:rPr>
      <w:rFonts w:ascii="Arial" w:hAnsi="Arial" w:cs="Arial"/>
      <w:vanish/>
      <w:kern w:val="0"/>
      <w:sz w:val="16"/>
      <w:szCs w:val="16"/>
    </w:rPr>
  </w:style>
  <w:style w:type="paragraph" w:customStyle="1" w:styleId="160">
    <w:name w:val="z-窗体底端1"/>
    <w:basedOn w:val="1"/>
    <w:next w:val="1"/>
    <w:autoRedefine/>
    <w:hidden/>
    <w:qFormat/>
    <w:uiPriority w:val="0"/>
    <w:pPr>
      <w:widowControl/>
      <w:pBdr>
        <w:top w:val="single" w:color="auto" w:sz="6" w:space="1"/>
      </w:pBdr>
      <w:jc w:val="center"/>
    </w:pPr>
    <w:rPr>
      <w:rFonts w:ascii="Arial" w:hAnsi="Arial" w:cs="Arial"/>
      <w:vanish/>
      <w:kern w:val="0"/>
      <w:sz w:val="16"/>
      <w:szCs w:val="16"/>
    </w:rPr>
  </w:style>
  <w:style w:type="paragraph" w:customStyle="1" w:styleId="161">
    <w:name w:val="正文样式"/>
    <w:basedOn w:val="1"/>
    <w:autoRedefine/>
    <w:qFormat/>
    <w:uiPriority w:val="0"/>
    <w:pPr>
      <w:adjustRightInd w:val="0"/>
      <w:spacing w:line="400" w:lineRule="atLeast"/>
      <w:ind w:firstLine="570" w:firstLineChars="203"/>
      <w:textAlignment w:val="baseline"/>
    </w:pPr>
    <w:rPr>
      <w:rFonts w:eastAsia="仿宋_GB2312"/>
      <w:kern w:val="0"/>
      <w:sz w:val="28"/>
      <w:szCs w:val="20"/>
    </w:rPr>
  </w:style>
  <w:style w:type="paragraph" w:customStyle="1" w:styleId="162">
    <w:name w:val="xl34"/>
    <w:basedOn w:val="1"/>
    <w:autoRedefine/>
    <w:qFormat/>
    <w:uiPriority w:val="0"/>
    <w:pPr>
      <w:widowControl/>
      <w:pBdr>
        <w:left w:val="single" w:color="auto" w:sz="4" w:space="0"/>
      </w:pBdr>
      <w:spacing w:before="100" w:beforeAutospacing="1" w:after="100" w:afterAutospacing="1"/>
      <w:jc w:val="center"/>
      <w:textAlignment w:val="center"/>
    </w:pPr>
    <w:rPr>
      <w:rFonts w:ascii="宋体" w:hAnsi="宋体"/>
      <w:kern w:val="0"/>
      <w:sz w:val="24"/>
    </w:rPr>
  </w:style>
  <w:style w:type="paragraph" w:customStyle="1" w:styleId="163">
    <w:name w:val="段落正文"/>
    <w:basedOn w:val="24"/>
    <w:autoRedefine/>
    <w:qFormat/>
    <w:uiPriority w:val="0"/>
    <w:pPr>
      <w:ind w:firstLine="560" w:firstLineChars="200"/>
    </w:pPr>
    <w:rPr>
      <w:sz w:val="28"/>
    </w:rPr>
  </w:style>
  <w:style w:type="character" w:customStyle="1" w:styleId="164">
    <w:name w:val="gray6"/>
    <w:basedOn w:val="48"/>
    <w:autoRedefine/>
    <w:qFormat/>
    <w:uiPriority w:val="0"/>
  </w:style>
  <w:style w:type="character" w:customStyle="1" w:styleId="165">
    <w:name w:val="style9"/>
    <w:basedOn w:val="48"/>
    <w:autoRedefine/>
    <w:qFormat/>
    <w:uiPriority w:val="0"/>
  </w:style>
  <w:style w:type="paragraph" w:customStyle="1" w:styleId="166">
    <w:name w:val="2册标题4"/>
    <w:basedOn w:val="1"/>
    <w:next w:val="1"/>
    <w:autoRedefine/>
    <w:qFormat/>
    <w:uiPriority w:val="0"/>
    <w:pPr>
      <w:spacing w:beforeLines="50" w:afterLines="50" w:line="300" w:lineRule="auto"/>
      <w:ind w:left="420" w:leftChars="200"/>
      <w:outlineLvl w:val="3"/>
    </w:pPr>
    <w:rPr>
      <w:rFonts w:ascii="Arial" w:hAnsi="Arial" w:eastAsia="幼圆" w:cs="Arial"/>
      <w:b/>
      <w:sz w:val="24"/>
    </w:rPr>
  </w:style>
  <w:style w:type="character" w:customStyle="1" w:styleId="167">
    <w:name w:val="grame"/>
    <w:basedOn w:val="48"/>
    <w:autoRedefine/>
    <w:qFormat/>
    <w:uiPriority w:val="0"/>
  </w:style>
  <w:style w:type="paragraph" w:customStyle="1" w:styleId="168">
    <w:name w:val="style2"/>
    <w:basedOn w:val="1"/>
    <w:autoRedefine/>
    <w:qFormat/>
    <w:uiPriority w:val="0"/>
    <w:pPr>
      <w:widowControl/>
      <w:spacing w:before="100" w:beforeAutospacing="1" w:after="100" w:afterAutospacing="1"/>
      <w:jc w:val="left"/>
    </w:pPr>
    <w:rPr>
      <w:rFonts w:ascii="宋体" w:hAnsi="宋体" w:cs="宋体"/>
      <w:kern w:val="0"/>
      <w:sz w:val="18"/>
      <w:szCs w:val="18"/>
    </w:rPr>
  </w:style>
  <w:style w:type="paragraph" w:customStyle="1" w:styleId="169">
    <w:name w:val="Char1"/>
    <w:basedOn w:val="1"/>
    <w:autoRedefine/>
    <w:qFormat/>
    <w:uiPriority w:val="0"/>
    <w:pPr>
      <w:jc w:val="left"/>
    </w:pPr>
    <w:rPr>
      <w:rFonts w:ascii="Tahoma" w:hAnsi="Tahoma"/>
      <w:sz w:val="24"/>
      <w:szCs w:val="20"/>
    </w:rPr>
  </w:style>
  <w:style w:type="paragraph" w:customStyle="1" w:styleId="170">
    <w:name w:val="编号1"/>
    <w:basedOn w:val="1"/>
    <w:autoRedefine/>
    <w:qFormat/>
    <w:uiPriority w:val="0"/>
    <w:pPr>
      <w:numPr>
        <w:ilvl w:val="0"/>
        <w:numId w:val="6"/>
      </w:numPr>
      <w:adjustRightInd w:val="0"/>
      <w:spacing w:line="300" w:lineRule="auto"/>
      <w:ind w:right="210"/>
      <w:textAlignment w:val="center"/>
    </w:pPr>
    <w:rPr>
      <w:rFonts w:ascii="宋体" w:hAnsi="宋体"/>
      <w:snapToGrid w:val="0"/>
      <w:spacing w:val="10"/>
      <w:kern w:val="24"/>
    </w:rPr>
  </w:style>
  <w:style w:type="paragraph" w:customStyle="1" w:styleId="171">
    <w:name w:val="Char Char Char Char Char Char Char Char Char Char Char Char Char Char Char Char Char Char Char Char Char Char"/>
    <w:basedOn w:val="1"/>
    <w:autoRedefine/>
    <w:qFormat/>
    <w:uiPriority w:val="0"/>
    <w:pPr>
      <w:widowControl/>
      <w:spacing w:line="400" w:lineRule="exact"/>
      <w:jc w:val="center"/>
    </w:pPr>
    <w:rPr>
      <w:rFonts w:ascii="Verdana" w:hAnsi="Verdana"/>
      <w:kern w:val="0"/>
      <w:szCs w:val="20"/>
      <w:lang w:eastAsia="en-US"/>
    </w:rPr>
  </w:style>
  <w:style w:type="paragraph" w:customStyle="1" w:styleId="172">
    <w:name w:val="font0"/>
    <w:basedOn w:val="1"/>
    <w:autoRedefine/>
    <w:qFormat/>
    <w:uiPriority w:val="0"/>
    <w:pPr>
      <w:widowControl/>
      <w:spacing w:before="100" w:beforeAutospacing="1" w:after="100" w:afterAutospacing="1"/>
      <w:jc w:val="left"/>
    </w:pPr>
    <w:rPr>
      <w:rFonts w:hint="eastAsia" w:ascii="宋体" w:hAnsi="宋体"/>
      <w:kern w:val="0"/>
      <w:sz w:val="24"/>
    </w:rPr>
  </w:style>
  <w:style w:type="paragraph" w:customStyle="1" w:styleId="173">
    <w:name w:val="font5"/>
    <w:basedOn w:val="1"/>
    <w:autoRedefine/>
    <w:qFormat/>
    <w:uiPriority w:val="0"/>
    <w:pPr>
      <w:widowControl/>
      <w:spacing w:before="100" w:beforeAutospacing="1" w:after="100" w:afterAutospacing="1"/>
      <w:jc w:val="left"/>
    </w:pPr>
    <w:rPr>
      <w:rFonts w:hint="eastAsia" w:ascii="宋体" w:hAnsi="宋体"/>
      <w:kern w:val="0"/>
      <w:sz w:val="18"/>
      <w:szCs w:val="18"/>
    </w:rPr>
  </w:style>
  <w:style w:type="paragraph" w:customStyle="1" w:styleId="174">
    <w:name w:val="font6"/>
    <w:basedOn w:val="1"/>
    <w:autoRedefine/>
    <w:qFormat/>
    <w:uiPriority w:val="0"/>
    <w:pPr>
      <w:widowControl/>
      <w:spacing w:before="100" w:beforeAutospacing="1" w:after="100" w:afterAutospacing="1"/>
      <w:jc w:val="left"/>
    </w:pPr>
    <w:rPr>
      <w:kern w:val="0"/>
      <w:sz w:val="24"/>
    </w:rPr>
  </w:style>
  <w:style w:type="paragraph" w:customStyle="1" w:styleId="175">
    <w:name w:val="xl24"/>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kern w:val="0"/>
      <w:sz w:val="24"/>
    </w:rPr>
  </w:style>
  <w:style w:type="paragraph" w:customStyle="1" w:styleId="176">
    <w:name w:val="xl25"/>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kern w:val="0"/>
      <w:sz w:val="24"/>
    </w:rPr>
  </w:style>
  <w:style w:type="paragraph" w:customStyle="1" w:styleId="177">
    <w:name w:val="表格字"/>
    <w:basedOn w:val="1"/>
    <w:autoRedefine/>
    <w:qFormat/>
    <w:uiPriority w:val="0"/>
    <w:pPr>
      <w:adjustRightInd w:val="0"/>
      <w:jc w:val="center"/>
    </w:pPr>
    <w:rPr>
      <w:rFonts w:ascii="宋体"/>
      <w:sz w:val="24"/>
      <w:szCs w:val="20"/>
    </w:rPr>
  </w:style>
  <w:style w:type="character" w:customStyle="1" w:styleId="178">
    <w:name w:val="样式 小三 加粗"/>
    <w:autoRedefine/>
    <w:qFormat/>
    <w:uiPriority w:val="0"/>
    <w:rPr>
      <w:rFonts w:eastAsia="宋体"/>
      <w:b/>
      <w:bCs/>
      <w:sz w:val="32"/>
    </w:rPr>
  </w:style>
  <w:style w:type="paragraph" w:customStyle="1" w:styleId="179">
    <w:name w:val="xl28"/>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0"/>
      <w:szCs w:val="20"/>
    </w:rPr>
  </w:style>
  <w:style w:type="paragraph" w:customStyle="1" w:styleId="180">
    <w:name w:val="qw"/>
    <w:autoRedefine/>
    <w:qFormat/>
    <w:uiPriority w:val="0"/>
    <w:pPr>
      <w:widowControl w:val="0"/>
      <w:adjustRightInd w:val="0"/>
      <w:spacing w:line="312" w:lineRule="atLeast"/>
      <w:jc w:val="both"/>
      <w:textAlignment w:val="baseline"/>
    </w:pPr>
    <w:rPr>
      <w:rFonts w:ascii="宋体" w:hAnsi="Times New Roman" w:eastAsia="宋体" w:cs="Times New Roman"/>
      <w:sz w:val="24"/>
      <w:lang w:val="en-US" w:eastAsia="zh-CN" w:bidi="ar-SA"/>
    </w:rPr>
  </w:style>
  <w:style w:type="paragraph" w:customStyle="1" w:styleId="181">
    <w:name w:val="Char Char Char"/>
    <w:basedOn w:val="1"/>
    <w:autoRedefine/>
    <w:qFormat/>
    <w:uiPriority w:val="0"/>
    <w:rPr>
      <w:rFonts w:ascii="Tahoma" w:hAnsi="Tahoma"/>
      <w:sz w:val="24"/>
      <w:szCs w:val="20"/>
    </w:rPr>
  </w:style>
  <w:style w:type="paragraph" w:customStyle="1" w:styleId="182">
    <w:name w:val="Char2"/>
    <w:basedOn w:val="1"/>
    <w:autoRedefine/>
    <w:qFormat/>
    <w:uiPriority w:val="0"/>
    <w:pPr>
      <w:widowControl/>
      <w:spacing w:after="160" w:line="240" w:lineRule="exact"/>
      <w:jc w:val="left"/>
    </w:pPr>
    <w:rPr>
      <w:rFonts w:ascii="Verdana" w:hAnsi="Verdana" w:eastAsia="仿宋_GB2312"/>
      <w:kern w:val="0"/>
      <w:sz w:val="24"/>
      <w:szCs w:val="20"/>
      <w:lang w:eastAsia="en-US"/>
    </w:rPr>
  </w:style>
  <w:style w:type="character" w:customStyle="1" w:styleId="183">
    <w:name w:val="info4"/>
    <w:basedOn w:val="48"/>
    <w:autoRedefine/>
    <w:qFormat/>
    <w:uiPriority w:val="0"/>
  </w:style>
  <w:style w:type="paragraph" w:customStyle="1" w:styleId="184">
    <w:name w:val="缩进正文"/>
    <w:basedOn w:val="1"/>
    <w:link w:val="185"/>
    <w:autoRedefine/>
    <w:qFormat/>
    <w:uiPriority w:val="0"/>
    <w:pPr>
      <w:ind w:firstLine="560" w:firstLineChars="200"/>
    </w:pPr>
    <w:rPr>
      <w:rFonts w:eastAsia="仿宋_GB2312" w:cs="宋体"/>
      <w:sz w:val="28"/>
      <w:szCs w:val="20"/>
    </w:rPr>
  </w:style>
  <w:style w:type="character" w:customStyle="1" w:styleId="185">
    <w:name w:val="缩进正文 Char"/>
    <w:link w:val="184"/>
    <w:autoRedefine/>
    <w:qFormat/>
    <w:uiPriority w:val="0"/>
    <w:rPr>
      <w:rFonts w:eastAsia="仿宋_GB2312" w:cs="宋体"/>
      <w:kern w:val="2"/>
      <w:sz w:val="28"/>
      <w:lang w:val="en-US" w:eastAsia="zh-CN" w:bidi="ar-SA"/>
    </w:rPr>
  </w:style>
  <w:style w:type="paragraph" w:customStyle="1" w:styleId="186">
    <w:name w:val="列出段落1"/>
    <w:basedOn w:val="1"/>
    <w:autoRedefine/>
    <w:qFormat/>
    <w:uiPriority w:val="0"/>
    <w:pPr>
      <w:ind w:firstLine="420" w:firstLineChars="200"/>
    </w:pPr>
    <w:rPr>
      <w:rFonts w:ascii="Calibri" w:hAnsi="Calibri" w:cs="Calibri"/>
      <w:szCs w:val="21"/>
    </w:rPr>
  </w:style>
  <w:style w:type="character" w:customStyle="1" w:styleId="187">
    <w:name w:val="批注文字 字符"/>
    <w:basedOn w:val="48"/>
    <w:link w:val="17"/>
    <w:autoRedefine/>
    <w:semiHidden/>
    <w:qFormat/>
    <w:uiPriority w:val="99"/>
    <w:rPr>
      <w:rFonts w:ascii="宋体"/>
      <w:sz w:val="34"/>
    </w:rPr>
  </w:style>
  <w:style w:type="character" w:customStyle="1" w:styleId="188">
    <w:name w:val="批注主题 字符"/>
    <w:basedOn w:val="187"/>
    <w:link w:val="42"/>
    <w:autoRedefine/>
    <w:qFormat/>
    <w:uiPriority w:val="99"/>
    <w:rPr>
      <w:rFonts w:ascii="宋体"/>
      <w:sz w:val="34"/>
    </w:rPr>
  </w:style>
  <w:style w:type="paragraph" w:customStyle="1" w:styleId="189">
    <w:name w:val="评价"/>
    <w:basedOn w:val="1"/>
    <w:autoRedefine/>
    <w:qFormat/>
    <w:uiPriority w:val="0"/>
    <w:pPr>
      <w:spacing w:afterLines="20"/>
      <w:ind w:firstLine="1446" w:firstLineChars="200"/>
    </w:pPr>
    <w:rPr>
      <w:rFonts w:ascii="Calibri" w:hAnsi="Calibri"/>
      <w:sz w:val="24"/>
    </w:rPr>
  </w:style>
  <w:style w:type="paragraph" w:customStyle="1" w:styleId="190">
    <w:name w:val="修订1"/>
    <w:autoRedefine/>
    <w:hidden/>
    <w:semiHidden/>
    <w:qFormat/>
    <w:uiPriority w:val="99"/>
    <w:rPr>
      <w:rFonts w:ascii="Times New Roman" w:hAnsi="Times New Roman" w:eastAsia="宋体" w:cs="Times New Roman"/>
      <w:kern w:val="2"/>
      <w:sz w:val="21"/>
      <w:szCs w:val="24"/>
      <w:lang w:val="en-US" w:eastAsia="zh-CN" w:bidi="ar-SA"/>
    </w:rPr>
  </w:style>
  <w:style w:type="character" w:customStyle="1" w:styleId="191">
    <w:name w:val="alt-edited1"/>
    <w:autoRedefine/>
    <w:qFormat/>
    <w:uiPriority w:val="0"/>
    <w:rPr>
      <w:color w:val="4D90F0"/>
    </w:rPr>
  </w:style>
  <w:style w:type="paragraph" w:customStyle="1" w:styleId="192">
    <w:name w:val="toc 14"/>
    <w:next w:val="1"/>
    <w:autoRedefine/>
    <w:qFormat/>
    <w:uiPriority w:val="0"/>
    <w:pPr>
      <w:wordWrap w:val="0"/>
      <w:jc w:val="both"/>
    </w:pPr>
    <w:rPr>
      <w:rFonts w:ascii="Calibri" w:hAnsi="Calibri" w:eastAsia="宋体" w:cs="Times New Roman"/>
      <w:sz w:val="21"/>
      <w:lang w:val="en-US" w:eastAsia="zh-CN" w:bidi="ar-SA"/>
    </w:rPr>
  </w:style>
  <w:style w:type="character" w:customStyle="1" w:styleId="193">
    <w:name w:val="文档结构图 Char1"/>
    <w:autoRedefine/>
    <w:semiHidden/>
    <w:qFormat/>
    <w:uiPriority w:val="0"/>
    <w:rPr>
      <w:sz w:val="20"/>
    </w:rPr>
  </w:style>
  <w:style w:type="character" w:customStyle="1" w:styleId="194">
    <w:name w:val="文档结构图 Char"/>
    <w:autoRedefine/>
    <w:semiHidden/>
    <w:qFormat/>
    <w:uiPriority w:val="0"/>
    <w:rPr>
      <w:sz w:val="20"/>
    </w:rPr>
  </w:style>
  <w:style w:type="character" w:customStyle="1" w:styleId="195">
    <w:name w:val="short_text"/>
    <w:basedOn w:val="48"/>
    <w:autoRedefine/>
    <w:qFormat/>
    <w:uiPriority w:val="0"/>
    <w:rPr>
      <w:sz w:val="20"/>
    </w:rPr>
  </w:style>
  <w:style w:type="character" w:customStyle="1" w:styleId="196">
    <w:name w:val="标题 Char1"/>
    <w:autoRedefine/>
    <w:qFormat/>
    <w:uiPriority w:val="0"/>
    <w:rPr>
      <w:b/>
      <w:sz w:val="20"/>
    </w:rPr>
  </w:style>
  <w:style w:type="character" w:customStyle="1" w:styleId="197">
    <w:name w:val="正文文本缩进 3 Char1"/>
    <w:autoRedefine/>
    <w:semiHidden/>
    <w:qFormat/>
    <w:uiPriority w:val="0"/>
    <w:rPr>
      <w:sz w:val="20"/>
    </w:rPr>
  </w:style>
  <w:style w:type="character" w:customStyle="1" w:styleId="198">
    <w:name w:val="font21"/>
    <w:autoRedefine/>
    <w:qFormat/>
    <w:uiPriority w:val="0"/>
    <w:rPr>
      <w:color w:val="FF0000"/>
      <w:sz w:val="20"/>
      <w:u w:val="none"/>
    </w:rPr>
  </w:style>
  <w:style w:type="character" w:customStyle="1" w:styleId="199">
    <w:name w:val="不明显强调1"/>
    <w:autoRedefine/>
    <w:qFormat/>
    <w:uiPriority w:val="0"/>
    <w:rPr>
      <w:i/>
      <w:sz w:val="20"/>
    </w:rPr>
  </w:style>
  <w:style w:type="character" w:customStyle="1" w:styleId="200">
    <w:name w:val="font71"/>
    <w:autoRedefine/>
    <w:qFormat/>
    <w:uiPriority w:val="0"/>
    <w:rPr>
      <w:sz w:val="20"/>
      <w:u w:val="none"/>
    </w:rPr>
  </w:style>
  <w:style w:type="character" w:customStyle="1" w:styleId="201">
    <w:name w:val="页眉 Char1"/>
    <w:autoRedefine/>
    <w:semiHidden/>
    <w:qFormat/>
    <w:uiPriority w:val="0"/>
    <w:rPr>
      <w:sz w:val="20"/>
    </w:rPr>
  </w:style>
  <w:style w:type="character" w:customStyle="1" w:styleId="202">
    <w:name w:val="正文文本缩进 2 Char1"/>
    <w:autoRedefine/>
    <w:semiHidden/>
    <w:qFormat/>
    <w:uiPriority w:val="0"/>
    <w:rPr>
      <w:sz w:val="20"/>
    </w:rPr>
  </w:style>
  <w:style w:type="character" w:customStyle="1" w:styleId="203">
    <w:name w:val="font61"/>
    <w:autoRedefine/>
    <w:qFormat/>
    <w:uiPriority w:val="0"/>
    <w:rPr>
      <w:sz w:val="20"/>
      <w:u w:val="none"/>
    </w:rPr>
  </w:style>
  <w:style w:type="character" w:customStyle="1" w:styleId="204">
    <w:name w:val="纯文本 Char1"/>
    <w:autoRedefine/>
    <w:semiHidden/>
    <w:qFormat/>
    <w:uiPriority w:val="0"/>
    <w:rPr>
      <w:sz w:val="20"/>
    </w:rPr>
  </w:style>
  <w:style w:type="character" w:customStyle="1" w:styleId="205">
    <w:name w:val="正文文本 3 Char1"/>
    <w:autoRedefine/>
    <w:semiHidden/>
    <w:qFormat/>
    <w:uiPriority w:val="0"/>
    <w:rPr>
      <w:sz w:val="20"/>
    </w:rPr>
  </w:style>
  <w:style w:type="character" w:customStyle="1" w:styleId="206">
    <w:name w:val="正文文本缩进 Char1"/>
    <w:autoRedefine/>
    <w:semiHidden/>
    <w:qFormat/>
    <w:uiPriority w:val="0"/>
    <w:rPr>
      <w:sz w:val="20"/>
    </w:rPr>
  </w:style>
  <w:style w:type="character" w:customStyle="1" w:styleId="207">
    <w:name w:val="明显参考1"/>
    <w:autoRedefine/>
    <w:qFormat/>
    <w:uiPriority w:val="0"/>
    <w:rPr>
      <w:b/>
      <w:sz w:val="20"/>
    </w:rPr>
  </w:style>
  <w:style w:type="character" w:customStyle="1" w:styleId="208">
    <w:name w:val="apple-converted-space"/>
    <w:autoRedefine/>
    <w:qFormat/>
    <w:uiPriority w:val="0"/>
    <w:rPr>
      <w:sz w:val="20"/>
    </w:rPr>
  </w:style>
  <w:style w:type="character" w:customStyle="1" w:styleId="209">
    <w:name w:val="书籍标题1"/>
    <w:autoRedefine/>
    <w:qFormat/>
    <w:uiPriority w:val="0"/>
    <w:rPr>
      <w:b/>
      <w:i/>
      <w:sz w:val="20"/>
    </w:rPr>
  </w:style>
  <w:style w:type="character" w:customStyle="1" w:styleId="210">
    <w:name w:val="long_text"/>
    <w:autoRedefine/>
    <w:qFormat/>
    <w:uiPriority w:val="0"/>
    <w:rPr>
      <w:sz w:val="20"/>
    </w:rPr>
  </w:style>
  <w:style w:type="character" w:customStyle="1" w:styleId="211">
    <w:name w:val="日期 Char1"/>
    <w:autoRedefine/>
    <w:semiHidden/>
    <w:qFormat/>
    <w:uiPriority w:val="0"/>
    <w:rPr>
      <w:sz w:val="20"/>
    </w:rPr>
  </w:style>
  <w:style w:type="character" w:customStyle="1" w:styleId="212">
    <w:name w:val="批注文字 Char1"/>
    <w:autoRedefine/>
    <w:semiHidden/>
    <w:qFormat/>
    <w:uiPriority w:val="0"/>
    <w:rPr>
      <w:sz w:val="20"/>
    </w:rPr>
  </w:style>
  <w:style w:type="character" w:customStyle="1" w:styleId="213">
    <w:name w:val="明显强调1"/>
    <w:autoRedefine/>
    <w:qFormat/>
    <w:uiPriority w:val="0"/>
    <w:rPr>
      <w:i/>
      <w:sz w:val="20"/>
    </w:rPr>
  </w:style>
  <w:style w:type="character" w:customStyle="1" w:styleId="214">
    <w:name w:val="16"/>
    <w:autoRedefine/>
    <w:qFormat/>
    <w:uiPriority w:val="0"/>
    <w:rPr>
      <w:b/>
      <w:color w:val="FF0356"/>
      <w:sz w:val="20"/>
    </w:rPr>
  </w:style>
  <w:style w:type="character" w:customStyle="1" w:styleId="215">
    <w:name w:val="批注主题 Char1"/>
    <w:autoRedefine/>
    <w:semiHidden/>
    <w:qFormat/>
    <w:uiPriority w:val="0"/>
    <w:rPr>
      <w:b/>
      <w:sz w:val="20"/>
    </w:rPr>
  </w:style>
  <w:style w:type="character" w:customStyle="1" w:styleId="216">
    <w:name w:val="正文文本 2 Char1"/>
    <w:autoRedefine/>
    <w:semiHidden/>
    <w:qFormat/>
    <w:uiPriority w:val="0"/>
    <w:rPr>
      <w:sz w:val="20"/>
    </w:rPr>
  </w:style>
  <w:style w:type="character" w:customStyle="1" w:styleId="217">
    <w:name w:val="font31"/>
    <w:autoRedefine/>
    <w:qFormat/>
    <w:uiPriority w:val="0"/>
    <w:rPr>
      <w:color w:val="FF0000"/>
      <w:sz w:val="20"/>
      <w:u w:val="none"/>
      <w:vertAlign w:val="superscript"/>
    </w:rPr>
  </w:style>
  <w:style w:type="character" w:customStyle="1" w:styleId="218">
    <w:name w:val="不明显参考1"/>
    <w:autoRedefine/>
    <w:qFormat/>
    <w:uiPriority w:val="0"/>
    <w:rPr>
      <w:sz w:val="20"/>
    </w:rPr>
  </w:style>
  <w:style w:type="character" w:customStyle="1" w:styleId="219">
    <w:name w:val="HTML 预设格式 Char1"/>
    <w:autoRedefine/>
    <w:semiHidden/>
    <w:qFormat/>
    <w:uiPriority w:val="0"/>
    <w:rPr>
      <w:sz w:val="20"/>
    </w:rPr>
  </w:style>
  <w:style w:type="character" w:customStyle="1" w:styleId="220">
    <w:name w:val="font01"/>
    <w:basedOn w:val="48"/>
    <w:autoRedefine/>
    <w:qFormat/>
    <w:uiPriority w:val="0"/>
    <w:rPr>
      <w:color w:val="FF0000"/>
      <w:sz w:val="20"/>
      <w:u w:val="none"/>
      <w:vertAlign w:val="superscript"/>
    </w:rPr>
  </w:style>
  <w:style w:type="character" w:customStyle="1" w:styleId="221">
    <w:name w:val="页脚 Char1"/>
    <w:autoRedefine/>
    <w:semiHidden/>
    <w:qFormat/>
    <w:uiPriority w:val="0"/>
    <w:rPr>
      <w:sz w:val="20"/>
    </w:rPr>
  </w:style>
  <w:style w:type="character" w:customStyle="1" w:styleId="222">
    <w:name w:val="批注框文本 Char1"/>
    <w:autoRedefine/>
    <w:semiHidden/>
    <w:qFormat/>
    <w:uiPriority w:val="0"/>
    <w:rPr>
      <w:sz w:val="20"/>
    </w:rPr>
  </w:style>
  <w:style w:type="paragraph" w:customStyle="1" w:styleId="223">
    <w:name w:val="列出段落2"/>
    <w:basedOn w:val="1"/>
    <w:next w:val="224"/>
    <w:autoRedefine/>
    <w:qFormat/>
    <w:uiPriority w:val="0"/>
    <w:pPr>
      <w:ind w:firstLine="420"/>
    </w:pPr>
    <w:rPr>
      <w:rFonts w:hAnsi="Calibri"/>
      <w:kern w:val="0"/>
      <w:szCs w:val="20"/>
    </w:rPr>
  </w:style>
  <w:style w:type="paragraph" w:customStyle="1" w:styleId="224">
    <w:name w:val="toc 814"/>
    <w:next w:val="1"/>
    <w:autoRedefine/>
    <w:qFormat/>
    <w:uiPriority w:val="0"/>
    <w:pPr>
      <w:wordWrap w:val="0"/>
      <w:ind w:left="2975"/>
      <w:jc w:val="both"/>
    </w:pPr>
    <w:rPr>
      <w:rFonts w:ascii="Calibri" w:hAnsi="Calibri" w:eastAsia="宋体" w:cs="Times New Roman"/>
      <w:sz w:val="21"/>
      <w:lang w:val="en-US" w:eastAsia="zh-CN" w:bidi="ar-SA"/>
    </w:rPr>
  </w:style>
  <w:style w:type="paragraph" w:customStyle="1" w:styleId="225">
    <w:name w:val="toc 62"/>
    <w:next w:val="1"/>
    <w:autoRedefine/>
    <w:qFormat/>
    <w:uiPriority w:val="0"/>
    <w:pPr>
      <w:wordWrap w:val="0"/>
      <w:ind w:left="2125"/>
      <w:jc w:val="both"/>
    </w:pPr>
    <w:rPr>
      <w:rFonts w:ascii="Calibri" w:hAnsi="Calibri" w:eastAsia="宋体" w:cs="Times New Roman"/>
      <w:sz w:val="21"/>
      <w:lang w:val="en-US" w:eastAsia="zh-CN" w:bidi="ar-SA"/>
    </w:rPr>
  </w:style>
  <w:style w:type="paragraph" w:customStyle="1" w:styleId="226">
    <w:name w:val="toc 414"/>
    <w:next w:val="1"/>
    <w:autoRedefine/>
    <w:qFormat/>
    <w:uiPriority w:val="0"/>
    <w:pPr>
      <w:wordWrap w:val="0"/>
      <w:ind w:left="1275"/>
      <w:jc w:val="both"/>
    </w:pPr>
    <w:rPr>
      <w:rFonts w:ascii="Calibri" w:hAnsi="Calibri" w:eastAsia="宋体" w:cs="Times New Roman"/>
      <w:sz w:val="21"/>
      <w:lang w:val="en-US" w:eastAsia="zh-CN" w:bidi="ar-SA"/>
    </w:rPr>
  </w:style>
  <w:style w:type="paragraph" w:customStyle="1" w:styleId="227">
    <w:name w:val="toc 411"/>
    <w:next w:val="1"/>
    <w:autoRedefine/>
    <w:qFormat/>
    <w:uiPriority w:val="0"/>
    <w:pPr>
      <w:wordWrap w:val="0"/>
      <w:ind w:left="1275"/>
      <w:jc w:val="both"/>
    </w:pPr>
    <w:rPr>
      <w:rFonts w:ascii="Calibri" w:hAnsi="Calibri" w:eastAsia="宋体" w:cs="Times New Roman"/>
      <w:sz w:val="21"/>
      <w:lang w:val="en-US" w:eastAsia="zh-CN" w:bidi="ar-SA"/>
    </w:rPr>
  </w:style>
  <w:style w:type="paragraph" w:customStyle="1" w:styleId="228">
    <w:name w:val="xl86"/>
    <w:basedOn w:val="1"/>
    <w:next w:val="229"/>
    <w:autoRedefine/>
    <w:qFormat/>
    <w:uiPriority w:val="0"/>
    <w:pPr>
      <w:widowControl/>
      <w:shd w:val="clear" w:color="000000" w:fill="FFFFFF"/>
      <w:spacing w:before="280" w:after="280"/>
      <w:jc w:val="center"/>
    </w:pPr>
    <w:rPr>
      <w:rFonts w:ascii="宋体" w:hAnsi="Calibri"/>
      <w:kern w:val="0"/>
      <w:sz w:val="20"/>
      <w:szCs w:val="20"/>
    </w:rPr>
  </w:style>
  <w:style w:type="paragraph" w:customStyle="1" w:styleId="229">
    <w:name w:val="toc 515"/>
    <w:next w:val="1"/>
    <w:autoRedefine/>
    <w:qFormat/>
    <w:uiPriority w:val="0"/>
    <w:pPr>
      <w:wordWrap w:val="0"/>
      <w:ind w:left="1700"/>
      <w:jc w:val="both"/>
    </w:pPr>
    <w:rPr>
      <w:rFonts w:ascii="Calibri" w:hAnsi="Calibri" w:eastAsia="宋体" w:cs="Times New Roman"/>
      <w:sz w:val="21"/>
      <w:lang w:val="en-US" w:eastAsia="zh-CN" w:bidi="ar-SA"/>
    </w:rPr>
  </w:style>
  <w:style w:type="paragraph" w:customStyle="1" w:styleId="230">
    <w:name w:val="TOC Heading4"/>
    <w:next w:val="1"/>
    <w:autoRedefine/>
    <w:qFormat/>
    <w:uiPriority w:val="0"/>
    <w:pPr>
      <w:wordWrap w:val="0"/>
    </w:pPr>
    <w:rPr>
      <w:rFonts w:ascii="Calibri" w:hAnsi="Calibri" w:eastAsia="宋体" w:cs="Times New Roman"/>
      <w:sz w:val="32"/>
      <w:lang w:val="en-US" w:eastAsia="zh-CN" w:bidi="ar-SA"/>
    </w:rPr>
  </w:style>
  <w:style w:type="paragraph" w:customStyle="1" w:styleId="231">
    <w:name w:val="toc 15"/>
    <w:next w:val="1"/>
    <w:autoRedefine/>
    <w:qFormat/>
    <w:uiPriority w:val="0"/>
    <w:pPr>
      <w:wordWrap w:val="0"/>
      <w:jc w:val="both"/>
    </w:pPr>
    <w:rPr>
      <w:rFonts w:ascii="Calibri" w:hAnsi="Calibri" w:eastAsia="宋体" w:cs="Times New Roman"/>
      <w:sz w:val="21"/>
      <w:lang w:val="en-US" w:eastAsia="zh-CN" w:bidi="ar-SA"/>
    </w:rPr>
  </w:style>
  <w:style w:type="paragraph" w:customStyle="1" w:styleId="232">
    <w:name w:val="TOC Heading2"/>
    <w:next w:val="1"/>
    <w:autoRedefine/>
    <w:qFormat/>
    <w:uiPriority w:val="0"/>
    <w:pPr>
      <w:wordWrap w:val="0"/>
    </w:pPr>
    <w:rPr>
      <w:rFonts w:ascii="Calibri" w:hAnsi="Calibri" w:eastAsia="宋体" w:cs="Times New Roman"/>
      <w:sz w:val="32"/>
      <w:lang w:val="en-US" w:eastAsia="zh-CN" w:bidi="ar-SA"/>
    </w:rPr>
  </w:style>
  <w:style w:type="paragraph" w:customStyle="1" w:styleId="233">
    <w:name w:val="TOC Heading1"/>
    <w:next w:val="1"/>
    <w:autoRedefine/>
    <w:qFormat/>
    <w:uiPriority w:val="0"/>
    <w:pPr>
      <w:wordWrap w:val="0"/>
    </w:pPr>
    <w:rPr>
      <w:rFonts w:ascii="Calibri" w:hAnsi="Calibri" w:eastAsia="宋体" w:cs="Times New Roman"/>
      <w:sz w:val="32"/>
      <w:lang w:val="en-US" w:eastAsia="zh-CN" w:bidi="ar-SA"/>
    </w:rPr>
  </w:style>
  <w:style w:type="paragraph" w:customStyle="1" w:styleId="234">
    <w:name w:val="toc 73"/>
    <w:next w:val="1"/>
    <w:autoRedefine/>
    <w:qFormat/>
    <w:uiPriority w:val="0"/>
    <w:pPr>
      <w:wordWrap w:val="0"/>
      <w:ind w:left="2550"/>
      <w:jc w:val="both"/>
    </w:pPr>
    <w:rPr>
      <w:rFonts w:ascii="Calibri" w:hAnsi="Calibri" w:eastAsia="宋体" w:cs="Times New Roman"/>
      <w:sz w:val="21"/>
      <w:lang w:val="en-US" w:eastAsia="zh-CN" w:bidi="ar-SA"/>
    </w:rPr>
  </w:style>
  <w:style w:type="paragraph" w:customStyle="1" w:styleId="235">
    <w:name w:val="font7"/>
    <w:basedOn w:val="1"/>
    <w:next w:val="236"/>
    <w:autoRedefine/>
    <w:qFormat/>
    <w:uiPriority w:val="0"/>
    <w:pPr>
      <w:widowControl/>
      <w:spacing w:before="280" w:after="280"/>
    </w:pPr>
    <w:rPr>
      <w:rFonts w:ascii="Arial" w:hAnsi="Calibri"/>
      <w:kern w:val="0"/>
      <w:sz w:val="18"/>
      <w:szCs w:val="20"/>
    </w:rPr>
  </w:style>
  <w:style w:type="paragraph" w:customStyle="1" w:styleId="236">
    <w:name w:val="toc 810"/>
    <w:next w:val="1"/>
    <w:autoRedefine/>
    <w:qFormat/>
    <w:uiPriority w:val="0"/>
    <w:pPr>
      <w:wordWrap w:val="0"/>
      <w:ind w:left="2975"/>
      <w:jc w:val="both"/>
    </w:pPr>
    <w:rPr>
      <w:rFonts w:ascii="Calibri" w:hAnsi="Calibri" w:eastAsia="宋体" w:cs="Times New Roman"/>
      <w:sz w:val="21"/>
      <w:lang w:val="en-US" w:eastAsia="zh-CN" w:bidi="ar-SA"/>
    </w:rPr>
  </w:style>
  <w:style w:type="paragraph" w:customStyle="1" w:styleId="237">
    <w:name w:val="xl113"/>
    <w:basedOn w:val="1"/>
    <w:next w:val="238"/>
    <w:autoRedefine/>
    <w:qFormat/>
    <w:uiPriority w:val="0"/>
    <w:pPr>
      <w:widowControl/>
      <w:shd w:val="clear" w:color="000000" w:fill="FFFFFF"/>
      <w:spacing w:before="280" w:after="280"/>
      <w:jc w:val="center"/>
    </w:pPr>
    <w:rPr>
      <w:rFonts w:ascii="宋体" w:hAnsi="Calibri"/>
      <w:b/>
      <w:kern w:val="0"/>
      <w:sz w:val="20"/>
      <w:szCs w:val="20"/>
    </w:rPr>
  </w:style>
  <w:style w:type="paragraph" w:customStyle="1" w:styleId="238">
    <w:name w:val="TOC Heading10"/>
    <w:next w:val="1"/>
    <w:autoRedefine/>
    <w:qFormat/>
    <w:uiPriority w:val="0"/>
    <w:pPr>
      <w:wordWrap w:val="0"/>
    </w:pPr>
    <w:rPr>
      <w:rFonts w:ascii="Calibri" w:hAnsi="Calibri" w:eastAsia="宋体" w:cs="Times New Roman"/>
      <w:sz w:val="32"/>
      <w:lang w:val="en-US" w:eastAsia="zh-CN" w:bidi="ar-SA"/>
    </w:rPr>
  </w:style>
  <w:style w:type="paragraph" w:customStyle="1" w:styleId="239">
    <w:name w:val="toc 89"/>
    <w:next w:val="1"/>
    <w:autoRedefine/>
    <w:qFormat/>
    <w:uiPriority w:val="0"/>
    <w:pPr>
      <w:wordWrap w:val="0"/>
      <w:ind w:left="2975"/>
      <w:jc w:val="both"/>
    </w:pPr>
    <w:rPr>
      <w:rFonts w:ascii="Calibri" w:hAnsi="Calibri" w:eastAsia="宋体" w:cs="Times New Roman"/>
      <w:sz w:val="21"/>
      <w:lang w:val="en-US" w:eastAsia="zh-CN" w:bidi="ar-SA"/>
    </w:rPr>
  </w:style>
  <w:style w:type="paragraph" w:customStyle="1" w:styleId="240">
    <w:name w:val="xl73"/>
    <w:basedOn w:val="1"/>
    <w:next w:val="241"/>
    <w:autoRedefine/>
    <w:qFormat/>
    <w:uiPriority w:val="0"/>
    <w:pPr>
      <w:widowControl/>
      <w:shd w:val="clear" w:color="000000" w:fill="FFFFFF"/>
      <w:spacing w:before="280" w:after="280"/>
      <w:jc w:val="center"/>
    </w:pPr>
    <w:rPr>
      <w:rFonts w:ascii="宋体" w:hAnsi="Calibri"/>
      <w:kern w:val="0"/>
      <w:sz w:val="20"/>
      <w:szCs w:val="20"/>
    </w:rPr>
  </w:style>
  <w:style w:type="paragraph" w:customStyle="1" w:styleId="241">
    <w:name w:val="toc 613"/>
    <w:next w:val="1"/>
    <w:autoRedefine/>
    <w:qFormat/>
    <w:uiPriority w:val="0"/>
    <w:pPr>
      <w:wordWrap w:val="0"/>
      <w:ind w:left="2125"/>
      <w:jc w:val="both"/>
    </w:pPr>
    <w:rPr>
      <w:rFonts w:ascii="Calibri" w:hAnsi="Calibri" w:eastAsia="宋体" w:cs="Times New Roman"/>
      <w:sz w:val="21"/>
      <w:lang w:val="en-US" w:eastAsia="zh-CN" w:bidi="ar-SA"/>
    </w:rPr>
  </w:style>
  <w:style w:type="paragraph" w:customStyle="1" w:styleId="242">
    <w:name w:val="xl79"/>
    <w:basedOn w:val="1"/>
    <w:next w:val="243"/>
    <w:autoRedefine/>
    <w:qFormat/>
    <w:uiPriority w:val="0"/>
    <w:pPr>
      <w:widowControl/>
      <w:shd w:val="clear" w:color="000000" w:fill="FFFFFF"/>
      <w:spacing w:before="280" w:after="280"/>
    </w:pPr>
    <w:rPr>
      <w:rFonts w:ascii="宋体" w:hAnsi="Calibri"/>
      <w:b/>
      <w:kern w:val="0"/>
      <w:sz w:val="20"/>
      <w:szCs w:val="20"/>
    </w:rPr>
  </w:style>
  <w:style w:type="paragraph" w:customStyle="1" w:styleId="243">
    <w:name w:val="toc 87"/>
    <w:next w:val="1"/>
    <w:autoRedefine/>
    <w:qFormat/>
    <w:uiPriority w:val="0"/>
    <w:pPr>
      <w:wordWrap w:val="0"/>
      <w:ind w:left="2975"/>
      <w:jc w:val="both"/>
    </w:pPr>
    <w:rPr>
      <w:rFonts w:ascii="Calibri" w:hAnsi="Calibri" w:eastAsia="宋体" w:cs="Times New Roman"/>
      <w:sz w:val="21"/>
      <w:lang w:val="en-US" w:eastAsia="zh-CN" w:bidi="ar-SA"/>
    </w:rPr>
  </w:style>
  <w:style w:type="paragraph" w:customStyle="1" w:styleId="244">
    <w:name w:val="toc 11"/>
    <w:next w:val="1"/>
    <w:autoRedefine/>
    <w:qFormat/>
    <w:uiPriority w:val="0"/>
    <w:pPr>
      <w:wordWrap w:val="0"/>
      <w:jc w:val="both"/>
    </w:pPr>
    <w:rPr>
      <w:rFonts w:ascii="Calibri" w:hAnsi="Calibri" w:eastAsia="宋体" w:cs="Times New Roman"/>
      <w:sz w:val="21"/>
      <w:lang w:val="en-US" w:eastAsia="zh-CN" w:bidi="ar-SA"/>
    </w:rPr>
  </w:style>
  <w:style w:type="paragraph" w:customStyle="1" w:styleId="245">
    <w:name w:val="toc 410"/>
    <w:next w:val="1"/>
    <w:autoRedefine/>
    <w:qFormat/>
    <w:uiPriority w:val="0"/>
    <w:pPr>
      <w:wordWrap w:val="0"/>
      <w:ind w:left="1275"/>
      <w:jc w:val="both"/>
    </w:pPr>
    <w:rPr>
      <w:rFonts w:ascii="Calibri" w:hAnsi="Calibri" w:eastAsia="宋体" w:cs="Times New Roman"/>
      <w:sz w:val="21"/>
      <w:lang w:val="en-US" w:eastAsia="zh-CN" w:bidi="ar-SA"/>
    </w:rPr>
  </w:style>
  <w:style w:type="paragraph" w:customStyle="1" w:styleId="246">
    <w:name w:val="toc 611"/>
    <w:next w:val="1"/>
    <w:autoRedefine/>
    <w:qFormat/>
    <w:uiPriority w:val="0"/>
    <w:pPr>
      <w:wordWrap w:val="0"/>
      <w:ind w:left="2125"/>
      <w:jc w:val="both"/>
    </w:pPr>
    <w:rPr>
      <w:rFonts w:ascii="Calibri" w:hAnsi="Calibri" w:eastAsia="宋体" w:cs="Times New Roman"/>
      <w:sz w:val="21"/>
      <w:lang w:val="en-US" w:eastAsia="zh-CN" w:bidi="ar-SA"/>
    </w:rPr>
  </w:style>
  <w:style w:type="paragraph" w:customStyle="1" w:styleId="247">
    <w:name w:val="xl112"/>
    <w:basedOn w:val="1"/>
    <w:next w:val="246"/>
    <w:autoRedefine/>
    <w:qFormat/>
    <w:uiPriority w:val="0"/>
    <w:pPr>
      <w:widowControl/>
      <w:shd w:val="clear" w:color="000000" w:fill="FFFFFF"/>
      <w:spacing w:before="280" w:after="280"/>
      <w:jc w:val="center"/>
    </w:pPr>
    <w:rPr>
      <w:rFonts w:ascii="宋体" w:hAnsi="Calibri"/>
      <w:b/>
      <w:kern w:val="0"/>
      <w:sz w:val="20"/>
      <w:szCs w:val="20"/>
    </w:rPr>
  </w:style>
  <w:style w:type="paragraph" w:customStyle="1" w:styleId="248">
    <w:name w:val="toc 514"/>
    <w:next w:val="1"/>
    <w:autoRedefine/>
    <w:qFormat/>
    <w:uiPriority w:val="0"/>
    <w:pPr>
      <w:wordWrap w:val="0"/>
      <w:ind w:left="1700"/>
      <w:jc w:val="both"/>
    </w:pPr>
    <w:rPr>
      <w:rFonts w:ascii="Calibri" w:hAnsi="Calibri" w:eastAsia="宋体" w:cs="Times New Roman"/>
      <w:sz w:val="21"/>
      <w:lang w:val="en-US" w:eastAsia="zh-CN" w:bidi="ar-SA"/>
    </w:rPr>
  </w:style>
  <w:style w:type="paragraph" w:customStyle="1" w:styleId="249">
    <w:name w:val="toc 44"/>
    <w:next w:val="1"/>
    <w:autoRedefine/>
    <w:qFormat/>
    <w:uiPriority w:val="0"/>
    <w:pPr>
      <w:wordWrap w:val="0"/>
      <w:ind w:left="1275"/>
      <w:jc w:val="both"/>
    </w:pPr>
    <w:rPr>
      <w:rFonts w:ascii="Calibri" w:hAnsi="Calibri" w:eastAsia="宋体" w:cs="Times New Roman"/>
      <w:sz w:val="21"/>
      <w:lang w:val="en-US" w:eastAsia="zh-CN" w:bidi="ar-SA"/>
    </w:rPr>
  </w:style>
  <w:style w:type="paragraph" w:customStyle="1" w:styleId="250">
    <w:name w:val="toc 412"/>
    <w:next w:val="1"/>
    <w:autoRedefine/>
    <w:qFormat/>
    <w:uiPriority w:val="0"/>
    <w:pPr>
      <w:wordWrap w:val="0"/>
      <w:ind w:left="1275"/>
      <w:jc w:val="both"/>
    </w:pPr>
    <w:rPr>
      <w:rFonts w:ascii="Calibri" w:hAnsi="Calibri" w:eastAsia="宋体" w:cs="Times New Roman"/>
      <w:sz w:val="21"/>
      <w:lang w:val="en-US" w:eastAsia="zh-CN" w:bidi="ar-SA"/>
    </w:rPr>
  </w:style>
  <w:style w:type="paragraph" w:customStyle="1" w:styleId="251">
    <w:name w:val="xl74"/>
    <w:basedOn w:val="1"/>
    <w:next w:val="252"/>
    <w:autoRedefine/>
    <w:qFormat/>
    <w:uiPriority w:val="0"/>
    <w:pPr>
      <w:widowControl/>
      <w:shd w:val="clear" w:color="000000" w:fill="FFFFFF"/>
      <w:spacing w:before="280" w:after="280"/>
    </w:pPr>
    <w:rPr>
      <w:rFonts w:ascii="宋体" w:hAnsi="Calibri"/>
      <w:kern w:val="0"/>
      <w:sz w:val="20"/>
      <w:szCs w:val="20"/>
    </w:rPr>
  </w:style>
  <w:style w:type="paragraph" w:customStyle="1" w:styleId="252">
    <w:name w:val="toc 57"/>
    <w:next w:val="1"/>
    <w:autoRedefine/>
    <w:qFormat/>
    <w:uiPriority w:val="0"/>
    <w:pPr>
      <w:wordWrap w:val="0"/>
      <w:ind w:left="1700"/>
      <w:jc w:val="both"/>
    </w:pPr>
    <w:rPr>
      <w:rFonts w:ascii="Calibri" w:hAnsi="Calibri" w:eastAsia="宋体" w:cs="Times New Roman"/>
      <w:sz w:val="21"/>
      <w:lang w:val="en-US" w:eastAsia="zh-CN" w:bidi="ar-SA"/>
    </w:rPr>
  </w:style>
  <w:style w:type="paragraph" w:customStyle="1" w:styleId="253">
    <w:name w:val="toc 912"/>
    <w:next w:val="1"/>
    <w:autoRedefine/>
    <w:qFormat/>
    <w:uiPriority w:val="0"/>
    <w:pPr>
      <w:wordWrap w:val="0"/>
      <w:ind w:left="3400"/>
      <w:jc w:val="both"/>
    </w:pPr>
    <w:rPr>
      <w:rFonts w:ascii="Calibri" w:hAnsi="Calibri" w:eastAsia="宋体" w:cs="Times New Roman"/>
      <w:sz w:val="21"/>
      <w:lang w:val="en-US" w:eastAsia="zh-CN" w:bidi="ar-SA"/>
    </w:rPr>
  </w:style>
  <w:style w:type="paragraph" w:customStyle="1" w:styleId="254">
    <w:name w:val="toc 91"/>
    <w:next w:val="1"/>
    <w:autoRedefine/>
    <w:qFormat/>
    <w:uiPriority w:val="0"/>
    <w:pPr>
      <w:wordWrap w:val="0"/>
      <w:ind w:left="3400"/>
      <w:jc w:val="both"/>
    </w:pPr>
    <w:rPr>
      <w:rFonts w:ascii="Calibri" w:hAnsi="Calibri" w:eastAsia="宋体" w:cs="Times New Roman"/>
      <w:sz w:val="21"/>
      <w:lang w:val="en-US" w:eastAsia="zh-CN" w:bidi="ar-SA"/>
    </w:rPr>
  </w:style>
  <w:style w:type="paragraph" w:customStyle="1" w:styleId="255">
    <w:name w:val="toc 38"/>
    <w:next w:val="1"/>
    <w:autoRedefine/>
    <w:qFormat/>
    <w:uiPriority w:val="0"/>
    <w:pPr>
      <w:wordWrap w:val="0"/>
      <w:ind w:left="850"/>
      <w:jc w:val="both"/>
    </w:pPr>
    <w:rPr>
      <w:rFonts w:ascii="Calibri" w:hAnsi="Calibri" w:eastAsia="宋体" w:cs="Times New Roman"/>
      <w:sz w:val="21"/>
      <w:lang w:val="en-US" w:eastAsia="zh-CN" w:bidi="ar-SA"/>
    </w:rPr>
  </w:style>
  <w:style w:type="paragraph" w:customStyle="1" w:styleId="256">
    <w:name w:val="toc 95"/>
    <w:next w:val="1"/>
    <w:autoRedefine/>
    <w:qFormat/>
    <w:uiPriority w:val="0"/>
    <w:pPr>
      <w:wordWrap w:val="0"/>
      <w:ind w:left="3400"/>
      <w:jc w:val="both"/>
    </w:pPr>
    <w:rPr>
      <w:rFonts w:ascii="Calibri" w:hAnsi="Calibri" w:eastAsia="宋体" w:cs="Times New Roman"/>
      <w:sz w:val="21"/>
      <w:lang w:val="en-US" w:eastAsia="zh-CN" w:bidi="ar-SA"/>
    </w:rPr>
  </w:style>
  <w:style w:type="paragraph" w:customStyle="1" w:styleId="257">
    <w:name w:val="列出段落5"/>
    <w:basedOn w:val="1"/>
    <w:next w:val="258"/>
    <w:autoRedefine/>
    <w:qFormat/>
    <w:uiPriority w:val="0"/>
    <w:pPr>
      <w:ind w:firstLine="420"/>
    </w:pPr>
    <w:rPr>
      <w:rFonts w:hAnsi="Calibri"/>
      <w:kern w:val="0"/>
      <w:szCs w:val="20"/>
    </w:rPr>
  </w:style>
  <w:style w:type="paragraph" w:customStyle="1" w:styleId="258">
    <w:name w:val="toc 312"/>
    <w:next w:val="1"/>
    <w:autoRedefine/>
    <w:qFormat/>
    <w:uiPriority w:val="0"/>
    <w:pPr>
      <w:wordWrap w:val="0"/>
      <w:ind w:left="850"/>
      <w:jc w:val="both"/>
    </w:pPr>
    <w:rPr>
      <w:rFonts w:ascii="Calibri" w:hAnsi="Calibri" w:eastAsia="宋体" w:cs="Times New Roman"/>
      <w:sz w:val="21"/>
      <w:lang w:val="en-US" w:eastAsia="zh-CN" w:bidi="ar-SA"/>
    </w:rPr>
  </w:style>
  <w:style w:type="paragraph" w:customStyle="1" w:styleId="259">
    <w:name w:val="xl66"/>
    <w:basedOn w:val="1"/>
    <w:next w:val="260"/>
    <w:autoRedefine/>
    <w:qFormat/>
    <w:uiPriority w:val="0"/>
    <w:pPr>
      <w:widowControl/>
      <w:shd w:val="clear" w:color="000000" w:fill="FFFFFF"/>
      <w:spacing w:before="280" w:after="280"/>
    </w:pPr>
    <w:rPr>
      <w:rFonts w:ascii="宋体" w:hAnsi="Calibri"/>
      <w:kern w:val="0"/>
      <w:sz w:val="20"/>
      <w:szCs w:val="20"/>
    </w:rPr>
  </w:style>
  <w:style w:type="paragraph" w:customStyle="1" w:styleId="260">
    <w:name w:val="toc 56"/>
    <w:next w:val="1"/>
    <w:autoRedefine/>
    <w:qFormat/>
    <w:uiPriority w:val="0"/>
    <w:pPr>
      <w:wordWrap w:val="0"/>
      <w:ind w:left="1700"/>
      <w:jc w:val="both"/>
    </w:pPr>
    <w:rPr>
      <w:rFonts w:ascii="Calibri" w:hAnsi="Calibri" w:eastAsia="宋体" w:cs="Times New Roman"/>
      <w:sz w:val="21"/>
      <w:lang w:val="en-US" w:eastAsia="zh-CN" w:bidi="ar-SA"/>
    </w:rPr>
  </w:style>
  <w:style w:type="paragraph" w:customStyle="1" w:styleId="261">
    <w:name w:val="TOC Heading3"/>
    <w:next w:val="1"/>
    <w:autoRedefine/>
    <w:qFormat/>
    <w:uiPriority w:val="0"/>
    <w:pPr>
      <w:wordWrap w:val="0"/>
    </w:pPr>
    <w:rPr>
      <w:rFonts w:ascii="Calibri" w:hAnsi="Calibri" w:eastAsia="宋体" w:cs="Times New Roman"/>
      <w:sz w:val="32"/>
      <w:lang w:val="en-US" w:eastAsia="zh-CN" w:bidi="ar-SA"/>
    </w:rPr>
  </w:style>
  <w:style w:type="paragraph" w:customStyle="1" w:styleId="262">
    <w:name w:val="toc 65"/>
    <w:next w:val="1"/>
    <w:autoRedefine/>
    <w:qFormat/>
    <w:uiPriority w:val="0"/>
    <w:pPr>
      <w:wordWrap w:val="0"/>
      <w:ind w:left="2125"/>
      <w:jc w:val="both"/>
    </w:pPr>
    <w:rPr>
      <w:rFonts w:ascii="Calibri" w:hAnsi="Calibri" w:eastAsia="宋体" w:cs="Times New Roman"/>
      <w:sz w:val="21"/>
      <w:lang w:val="en-US" w:eastAsia="zh-CN" w:bidi="ar-SA"/>
    </w:rPr>
  </w:style>
  <w:style w:type="paragraph" w:customStyle="1" w:styleId="263">
    <w:name w:val="toc 25"/>
    <w:next w:val="1"/>
    <w:autoRedefine/>
    <w:qFormat/>
    <w:uiPriority w:val="0"/>
    <w:pPr>
      <w:wordWrap w:val="0"/>
      <w:ind w:left="425"/>
      <w:jc w:val="both"/>
    </w:pPr>
    <w:rPr>
      <w:rFonts w:ascii="Calibri" w:hAnsi="Calibri" w:eastAsia="宋体" w:cs="Times New Roman"/>
      <w:sz w:val="21"/>
      <w:lang w:val="en-US" w:eastAsia="zh-CN" w:bidi="ar-SA"/>
    </w:rPr>
  </w:style>
  <w:style w:type="paragraph" w:customStyle="1" w:styleId="264">
    <w:name w:val="xl84"/>
    <w:basedOn w:val="1"/>
    <w:next w:val="265"/>
    <w:autoRedefine/>
    <w:qFormat/>
    <w:uiPriority w:val="0"/>
    <w:pPr>
      <w:widowControl/>
      <w:shd w:val="clear" w:color="000000" w:fill="FFFFFF"/>
      <w:spacing w:before="280" w:after="280"/>
      <w:jc w:val="center"/>
    </w:pPr>
    <w:rPr>
      <w:rFonts w:ascii="宋体" w:hAnsi="Calibri"/>
      <w:kern w:val="0"/>
      <w:sz w:val="20"/>
      <w:szCs w:val="20"/>
    </w:rPr>
  </w:style>
  <w:style w:type="paragraph" w:customStyle="1" w:styleId="265">
    <w:name w:val="toc 99"/>
    <w:next w:val="1"/>
    <w:autoRedefine/>
    <w:qFormat/>
    <w:uiPriority w:val="0"/>
    <w:pPr>
      <w:wordWrap w:val="0"/>
      <w:ind w:left="3400"/>
      <w:jc w:val="both"/>
    </w:pPr>
    <w:rPr>
      <w:rFonts w:ascii="Calibri" w:hAnsi="Calibri" w:eastAsia="宋体" w:cs="Times New Roman"/>
      <w:sz w:val="21"/>
      <w:lang w:val="en-US" w:eastAsia="zh-CN" w:bidi="ar-SA"/>
    </w:rPr>
  </w:style>
  <w:style w:type="paragraph" w:customStyle="1" w:styleId="266">
    <w:name w:val="xl81"/>
    <w:basedOn w:val="1"/>
    <w:next w:val="267"/>
    <w:autoRedefine/>
    <w:qFormat/>
    <w:uiPriority w:val="0"/>
    <w:pPr>
      <w:widowControl/>
      <w:shd w:val="clear" w:color="000000" w:fill="FFFFFF"/>
      <w:spacing w:before="280" w:after="280"/>
    </w:pPr>
    <w:rPr>
      <w:rFonts w:ascii="宋体" w:hAnsi="Calibri"/>
      <w:kern w:val="0"/>
      <w:sz w:val="20"/>
      <w:szCs w:val="20"/>
    </w:rPr>
  </w:style>
  <w:style w:type="paragraph" w:customStyle="1" w:styleId="267">
    <w:name w:val="toc 59"/>
    <w:next w:val="1"/>
    <w:autoRedefine/>
    <w:qFormat/>
    <w:uiPriority w:val="0"/>
    <w:pPr>
      <w:wordWrap w:val="0"/>
      <w:ind w:left="1700"/>
      <w:jc w:val="both"/>
    </w:pPr>
    <w:rPr>
      <w:rFonts w:ascii="Calibri" w:hAnsi="Calibri" w:eastAsia="宋体" w:cs="Times New Roman"/>
      <w:sz w:val="21"/>
      <w:lang w:val="en-US" w:eastAsia="zh-CN" w:bidi="ar-SA"/>
    </w:rPr>
  </w:style>
  <w:style w:type="paragraph" w:customStyle="1" w:styleId="268">
    <w:name w:val="目录 11"/>
    <w:next w:val="1"/>
    <w:autoRedefine/>
    <w:qFormat/>
    <w:uiPriority w:val="0"/>
    <w:pPr>
      <w:wordWrap w:val="0"/>
      <w:jc w:val="both"/>
    </w:pPr>
    <w:rPr>
      <w:rFonts w:ascii="Calibri" w:hAnsi="Calibri" w:eastAsia="宋体" w:cs="Times New Roman"/>
      <w:sz w:val="21"/>
      <w:lang w:val="en-US" w:eastAsia="zh-CN" w:bidi="ar-SA"/>
    </w:rPr>
  </w:style>
  <w:style w:type="paragraph" w:customStyle="1" w:styleId="269">
    <w:name w:val="toc 513"/>
    <w:next w:val="1"/>
    <w:autoRedefine/>
    <w:qFormat/>
    <w:uiPriority w:val="0"/>
    <w:pPr>
      <w:wordWrap w:val="0"/>
      <w:ind w:left="1700"/>
      <w:jc w:val="both"/>
    </w:pPr>
    <w:rPr>
      <w:rFonts w:ascii="Calibri" w:hAnsi="Calibri" w:eastAsia="宋体" w:cs="Times New Roman"/>
      <w:sz w:val="21"/>
      <w:lang w:val="en-US" w:eastAsia="zh-CN" w:bidi="ar-SA"/>
    </w:rPr>
  </w:style>
  <w:style w:type="paragraph" w:customStyle="1" w:styleId="270">
    <w:name w:val="TOC Heading12"/>
    <w:next w:val="1"/>
    <w:autoRedefine/>
    <w:qFormat/>
    <w:uiPriority w:val="0"/>
    <w:pPr>
      <w:wordWrap w:val="0"/>
    </w:pPr>
    <w:rPr>
      <w:rFonts w:ascii="Calibri" w:hAnsi="Calibri" w:eastAsia="宋体" w:cs="Times New Roman"/>
      <w:sz w:val="32"/>
      <w:lang w:val="en-US" w:eastAsia="zh-CN" w:bidi="ar-SA"/>
    </w:rPr>
  </w:style>
  <w:style w:type="paragraph" w:customStyle="1" w:styleId="271">
    <w:name w:val="TOC Heading8"/>
    <w:next w:val="1"/>
    <w:autoRedefine/>
    <w:qFormat/>
    <w:uiPriority w:val="0"/>
    <w:pPr>
      <w:wordWrap w:val="0"/>
    </w:pPr>
    <w:rPr>
      <w:rFonts w:ascii="Calibri" w:hAnsi="Calibri" w:eastAsia="宋体" w:cs="Times New Roman"/>
      <w:sz w:val="32"/>
      <w:lang w:val="en-US" w:eastAsia="zh-CN" w:bidi="ar-SA"/>
    </w:rPr>
  </w:style>
  <w:style w:type="paragraph" w:customStyle="1" w:styleId="272">
    <w:name w:val="toc 711"/>
    <w:next w:val="1"/>
    <w:autoRedefine/>
    <w:qFormat/>
    <w:uiPriority w:val="0"/>
    <w:pPr>
      <w:wordWrap w:val="0"/>
      <w:ind w:left="2550"/>
      <w:jc w:val="both"/>
    </w:pPr>
    <w:rPr>
      <w:rFonts w:ascii="Calibri" w:hAnsi="Calibri" w:eastAsia="宋体" w:cs="Times New Roman"/>
      <w:sz w:val="21"/>
      <w:lang w:val="en-US" w:eastAsia="zh-CN" w:bidi="ar-SA"/>
    </w:rPr>
  </w:style>
  <w:style w:type="paragraph" w:customStyle="1" w:styleId="273">
    <w:name w:val="toc 212"/>
    <w:next w:val="1"/>
    <w:autoRedefine/>
    <w:qFormat/>
    <w:uiPriority w:val="0"/>
    <w:pPr>
      <w:wordWrap w:val="0"/>
      <w:ind w:left="425"/>
      <w:jc w:val="both"/>
    </w:pPr>
    <w:rPr>
      <w:rFonts w:ascii="Calibri" w:hAnsi="Calibri" w:eastAsia="宋体" w:cs="Times New Roman"/>
      <w:sz w:val="21"/>
      <w:lang w:val="en-US" w:eastAsia="zh-CN" w:bidi="ar-SA"/>
    </w:rPr>
  </w:style>
  <w:style w:type="paragraph" w:customStyle="1" w:styleId="274">
    <w:name w:val="目录 21"/>
    <w:next w:val="1"/>
    <w:autoRedefine/>
    <w:qFormat/>
    <w:uiPriority w:val="0"/>
    <w:pPr>
      <w:wordWrap w:val="0"/>
      <w:ind w:left="425"/>
      <w:jc w:val="both"/>
    </w:pPr>
    <w:rPr>
      <w:rFonts w:ascii="Calibri" w:hAnsi="Calibri" w:eastAsia="宋体" w:cs="Times New Roman"/>
      <w:sz w:val="21"/>
      <w:lang w:val="en-US" w:eastAsia="zh-CN" w:bidi="ar-SA"/>
    </w:rPr>
  </w:style>
  <w:style w:type="paragraph" w:customStyle="1" w:styleId="275">
    <w:name w:val="toc 45"/>
    <w:next w:val="1"/>
    <w:autoRedefine/>
    <w:qFormat/>
    <w:uiPriority w:val="0"/>
    <w:pPr>
      <w:wordWrap w:val="0"/>
      <w:ind w:left="1275"/>
      <w:jc w:val="both"/>
    </w:pPr>
    <w:rPr>
      <w:rFonts w:ascii="Calibri" w:hAnsi="Calibri" w:eastAsia="宋体" w:cs="Times New Roman"/>
      <w:sz w:val="21"/>
      <w:lang w:val="en-US" w:eastAsia="zh-CN" w:bidi="ar-SA"/>
    </w:rPr>
  </w:style>
  <w:style w:type="paragraph" w:customStyle="1" w:styleId="276">
    <w:name w:val="xl116"/>
    <w:basedOn w:val="1"/>
    <w:next w:val="277"/>
    <w:autoRedefine/>
    <w:qFormat/>
    <w:uiPriority w:val="0"/>
    <w:pPr>
      <w:widowControl/>
      <w:shd w:val="clear" w:color="000000" w:fill="FFFFFF"/>
      <w:spacing w:before="280" w:after="280"/>
      <w:jc w:val="center"/>
    </w:pPr>
    <w:rPr>
      <w:rFonts w:ascii="Arial Narrow" w:hAnsi="Calibri"/>
      <w:kern w:val="0"/>
      <w:sz w:val="20"/>
      <w:szCs w:val="20"/>
    </w:rPr>
  </w:style>
  <w:style w:type="paragraph" w:customStyle="1" w:styleId="277">
    <w:name w:val="toc 78"/>
    <w:next w:val="1"/>
    <w:autoRedefine/>
    <w:qFormat/>
    <w:uiPriority w:val="0"/>
    <w:pPr>
      <w:wordWrap w:val="0"/>
      <w:ind w:left="2550"/>
      <w:jc w:val="both"/>
    </w:pPr>
    <w:rPr>
      <w:rFonts w:ascii="Calibri" w:hAnsi="Calibri" w:eastAsia="宋体" w:cs="Times New Roman"/>
      <w:sz w:val="21"/>
      <w:lang w:val="en-US" w:eastAsia="zh-CN" w:bidi="ar-SA"/>
    </w:rPr>
  </w:style>
  <w:style w:type="paragraph" w:customStyle="1" w:styleId="278">
    <w:name w:val="font8"/>
    <w:basedOn w:val="1"/>
    <w:next w:val="279"/>
    <w:autoRedefine/>
    <w:qFormat/>
    <w:uiPriority w:val="0"/>
    <w:pPr>
      <w:widowControl/>
      <w:spacing w:before="280" w:after="280"/>
    </w:pPr>
    <w:rPr>
      <w:rFonts w:ascii="Arial" w:hAnsi="Calibri"/>
      <w:kern w:val="0"/>
      <w:sz w:val="20"/>
      <w:szCs w:val="20"/>
    </w:rPr>
  </w:style>
  <w:style w:type="paragraph" w:customStyle="1" w:styleId="279">
    <w:name w:val="TOC Heading11"/>
    <w:next w:val="1"/>
    <w:autoRedefine/>
    <w:qFormat/>
    <w:uiPriority w:val="0"/>
    <w:pPr>
      <w:wordWrap w:val="0"/>
    </w:pPr>
    <w:rPr>
      <w:rFonts w:ascii="Calibri" w:hAnsi="Calibri" w:eastAsia="宋体" w:cs="Times New Roman"/>
      <w:sz w:val="32"/>
      <w:lang w:val="en-US" w:eastAsia="zh-CN" w:bidi="ar-SA"/>
    </w:rPr>
  </w:style>
  <w:style w:type="paragraph" w:customStyle="1" w:styleId="280">
    <w:name w:val="xl69"/>
    <w:basedOn w:val="1"/>
    <w:next w:val="281"/>
    <w:autoRedefine/>
    <w:qFormat/>
    <w:uiPriority w:val="0"/>
    <w:pPr>
      <w:widowControl/>
      <w:shd w:val="clear" w:color="000000" w:fill="FFFFFF"/>
      <w:spacing w:before="280" w:after="280"/>
    </w:pPr>
    <w:rPr>
      <w:rFonts w:ascii="宋体" w:hAnsi="Calibri"/>
      <w:b/>
      <w:kern w:val="0"/>
      <w:sz w:val="20"/>
      <w:szCs w:val="20"/>
    </w:rPr>
  </w:style>
  <w:style w:type="paragraph" w:customStyle="1" w:styleId="281">
    <w:name w:val="toc 48"/>
    <w:next w:val="1"/>
    <w:autoRedefine/>
    <w:qFormat/>
    <w:uiPriority w:val="0"/>
    <w:pPr>
      <w:wordWrap w:val="0"/>
      <w:ind w:left="1275"/>
      <w:jc w:val="both"/>
    </w:pPr>
    <w:rPr>
      <w:rFonts w:ascii="Calibri" w:hAnsi="Calibri" w:eastAsia="宋体" w:cs="Times New Roman"/>
      <w:sz w:val="21"/>
      <w:lang w:val="en-US" w:eastAsia="zh-CN" w:bidi="ar-SA"/>
    </w:rPr>
  </w:style>
  <w:style w:type="paragraph" w:customStyle="1" w:styleId="282">
    <w:name w:val="toc 813"/>
    <w:next w:val="1"/>
    <w:autoRedefine/>
    <w:qFormat/>
    <w:uiPriority w:val="0"/>
    <w:pPr>
      <w:wordWrap w:val="0"/>
      <w:ind w:left="2975"/>
      <w:jc w:val="both"/>
    </w:pPr>
    <w:rPr>
      <w:rFonts w:ascii="Calibri" w:hAnsi="Calibri" w:eastAsia="宋体" w:cs="Times New Roman"/>
      <w:sz w:val="21"/>
      <w:lang w:val="en-US" w:eastAsia="zh-CN" w:bidi="ar-SA"/>
    </w:rPr>
  </w:style>
  <w:style w:type="paragraph" w:customStyle="1" w:styleId="283">
    <w:name w:val="目录 91"/>
    <w:next w:val="1"/>
    <w:autoRedefine/>
    <w:qFormat/>
    <w:uiPriority w:val="0"/>
    <w:pPr>
      <w:wordWrap w:val="0"/>
      <w:ind w:left="3400"/>
      <w:jc w:val="both"/>
    </w:pPr>
    <w:rPr>
      <w:rFonts w:ascii="Calibri" w:hAnsi="Calibri" w:eastAsia="宋体" w:cs="Times New Roman"/>
      <w:sz w:val="21"/>
      <w:lang w:val="en-US" w:eastAsia="zh-CN" w:bidi="ar-SA"/>
    </w:rPr>
  </w:style>
  <w:style w:type="paragraph" w:customStyle="1" w:styleId="284">
    <w:name w:val="列出段落3"/>
    <w:basedOn w:val="1"/>
    <w:next w:val="285"/>
    <w:autoRedefine/>
    <w:qFormat/>
    <w:uiPriority w:val="0"/>
    <w:pPr>
      <w:ind w:firstLine="420"/>
    </w:pPr>
    <w:rPr>
      <w:rFonts w:hAnsi="Calibri"/>
      <w:kern w:val="0"/>
      <w:szCs w:val="20"/>
    </w:rPr>
  </w:style>
  <w:style w:type="paragraph" w:customStyle="1" w:styleId="285">
    <w:name w:val="toc 213"/>
    <w:next w:val="1"/>
    <w:autoRedefine/>
    <w:qFormat/>
    <w:uiPriority w:val="0"/>
    <w:pPr>
      <w:wordWrap w:val="0"/>
      <w:ind w:left="425"/>
      <w:jc w:val="both"/>
    </w:pPr>
    <w:rPr>
      <w:rFonts w:ascii="Calibri" w:hAnsi="Calibri" w:eastAsia="宋体" w:cs="Times New Roman"/>
      <w:sz w:val="21"/>
      <w:lang w:val="en-US" w:eastAsia="zh-CN" w:bidi="ar-SA"/>
    </w:rPr>
  </w:style>
  <w:style w:type="paragraph" w:customStyle="1" w:styleId="286">
    <w:name w:val="TOC 标题1"/>
    <w:next w:val="1"/>
    <w:autoRedefine/>
    <w:qFormat/>
    <w:uiPriority w:val="0"/>
    <w:pPr>
      <w:wordWrap w:val="0"/>
    </w:pPr>
    <w:rPr>
      <w:rFonts w:ascii="Calibri" w:hAnsi="Calibri" w:eastAsia="宋体" w:cs="Times New Roman"/>
      <w:sz w:val="32"/>
      <w:lang w:val="en-US" w:eastAsia="zh-CN" w:bidi="ar-SA"/>
    </w:rPr>
  </w:style>
  <w:style w:type="paragraph" w:customStyle="1" w:styleId="287">
    <w:name w:val="TOC Heading5"/>
    <w:next w:val="1"/>
    <w:autoRedefine/>
    <w:qFormat/>
    <w:uiPriority w:val="0"/>
    <w:pPr>
      <w:wordWrap w:val="0"/>
    </w:pPr>
    <w:rPr>
      <w:rFonts w:ascii="Calibri" w:hAnsi="Calibri" w:eastAsia="宋体" w:cs="Times New Roman"/>
      <w:sz w:val="32"/>
      <w:lang w:val="en-US" w:eastAsia="zh-CN" w:bidi="ar-SA"/>
    </w:rPr>
  </w:style>
  <w:style w:type="paragraph" w:customStyle="1" w:styleId="288">
    <w:name w:val="toc 313"/>
    <w:next w:val="1"/>
    <w:autoRedefine/>
    <w:qFormat/>
    <w:uiPriority w:val="0"/>
    <w:pPr>
      <w:wordWrap w:val="0"/>
      <w:ind w:left="850"/>
      <w:jc w:val="both"/>
    </w:pPr>
    <w:rPr>
      <w:rFonts w:ascii="Calibri" w:hAnsi="Calibri" w:eastAsia="宋体" w:cs="Times New Roman"/>
      <w:sz w:val="21"/>
      <w:lang w:val="en-US" w:eastAsia="zh-CN" w:bidi="ar-SA"/>
    </w:rPr>
  </w:style>
  <w:style w:type="paragraph" w:customStyle="1" w:styleId="289">
    <w:name w:val="toc 716"/>
    <w:next w:val="1"/>
    <w:autoRedefine/>
    <w:qFormat/>
    <w:uiPriority w:val="0"/>
    <w:pPr>
      <w:wordWrap w:val="0"/>
      <w:ind w:left="2550"/>
      <w:jc w:val="both"/>
    </w:pPr>
    <w:rPr>
      <w:rFonts w:ascii="Calibri" w:hAnsi="Calibri" w:eastAsia="宋体" w:cs="Times New Roman"/>
      <w:sz w:val="21"/>
      <w:lang w:val="en-US" w:eastAsia="zh-CN" w:bidi="ar-SA"/>
    </w:rPr>
  </w:style>
  <w:style w:type="paragraph" w:customStyle="1" w:styleId="290">
    <w:name w:val="xl115"/>
    <w:basedOn w:val="1"/>
    <w:next w:val="291"/>
    <w:autoRedefine/>
    <w:qFormat/>
    <w:uiPriority w:val="0"/>
    <w:pPr>
      <w:widowControl/>
      <w:shd w:val="clear" w:color="000000" w:fill="FFFFFF"/>
      <w:spacing w:before="280" w:after="280"/>
      <w:jc w:val="center"/>
    </w:pPr>
    <w:rPr>
      <w:rFonts w:ascii="宋体" w:hAnsi="Calibri"/>
      <w:b/>
      <w:kern w:val="0"/>
      <w:sz w:val="20"/>
      <w:szCs w:val="20"/>
    </w:rPr>
  </w:style>
  <w:style w:type="paragraph" w:customStyle="1" w:styleId="291">
    <w:name w:val="toc 712"/>
    <w:next w:val="1"/>
    <w:autoRedefine/>
    <w:qFormat/>
    <w:uiPriority w:val="0"/>
    <w:pPr>
      <w:wordWrap w:val="0"/>
      <w:ind w:left="2550"/>
      <w:jc w:val="both"/>
    </w:pPr>
    <w:rPr>
      <w:rFonts w:ascii="Calibri" w:hAnsi="Calibri" w:eastAsia="宋体" w:cs="Times New Roman"/>
      <w:sz w:val="21"/>
      <w:lang w:val="en-US" w:eastAsia="zh-CN" w:bidi="ar-SA"/>
    </w:rPr>
  </w:style>
  <w:style w:type="paragraph" w:customStyle="1" w:styleId="292">
    <w:name w:val="toc 64"/>
    <w:next w:val="1"/>
    <w:autoRedefine/>
    <w:qFormat/>
    <w:uiPriority w:val="0"/>
    <w:pPr>
      <w:wordWrap w:val="0"/>
      <w:ind w:left="2125"/>
      <w:jc w:val="both"/>
    </w:pPr>
    <w:rPr>
      <w:rFonts w:ascii="Calibri" w:hAnsi="Calibri" w:eastAsia="宋体" w:cs="Times New Roman"/>
      <w:sz w:val="21"/>
      <w:lang w:val="en-US" w:eastAsia="zh-CN" w:bidi="ar-SA"/>
    </w:rPr>
  </w:style>
  <w:style w:type="paragraph" w:customStyle="1" w:styleId="293">
    <w:name w:val="toc 24"/>
    <w:next w:val="1"/>
    <w:autoRedefine/>
    <w:qFormat/>
    <w:uiPriority w:val="0"/>
    <w:pPr>
      <w:wordWrap w:val="0"/>
      <w:ind w:left="425"/>
      <w:jc w:val="both"/>
    </w:pPr>
    <w:rPr>
      <w:rFonts w:ascii="Calibri" w:hAnsi="Calibri" w:eastAsia="宋体" w:cs="Times New Roman"/>
      <w:sz w:val="21"/>
      <w:lang w:val="en-US" w:eastAsia="zh-CN" w:bidi="ar-SA"/>
    </w:rPr>
  </w:style>
  <w:style w:type="paragraph" w:customStyle="1" w:styleId="294">
    <w:name w:val="toc 54"/>
    <w:next w:val="1"/>
    <w:autoRedefine/>
    <w:qFormat/>
    <w:uiPriority w:val="0"/>
    <w:pPr>
      <w:wordWrap w:val="0"/>
      <w:ind w:left="1700"/>
      <w:jc w:val="both"/>
    </w:pPr>
    <w:rPr>
      <w:rFonts w:ascii="Calibri" w:hAnsi="Calibri" w:eastAsia="宋体" w:cs="Times New Roman"/>
      <w:sz w:val="21"/>
      <w:lang w:val="en-US" w:eastAsia="zh-CN" w:bidi="ar-SA"/>
    </w:rPr>
  </w:style>
  <w:style w:type="paragraph" w:customStyle="1" w:styleId="295">
    <w:name w:val="xl93"/>
    <w:basedOn w:val="1"/>
    <w:next w:val="296"/>
    <w:autoRedefine/>
    <w:qFormat/>
    <w:uiPriority w:val="0"/>
    <w:pPr>
      <w:widowControl/>
      <w:shd w:val="clear" w:color="000000" w:fill="FFFFFF"/>
      <w:spacing w:before="280" w:after="280"/>
      <w:jc w:val="center"/>
    </w:pPr>
    <w:rPr>
      <w:rFonts w:ascii="宋体" w:hAnsi="Calibri"/>
      <w:kern w:val="0"/>
      <w:sz w:val="20"/>
      <w:szCs w:val="20"/>
    </w:rPr>
  </w:style>
  <w:style w:type="paragraph" w:customStyle="1" w:styleId="296">
    <w:name w:val="toc 112"/>
    <w:next w:val="1"/>
    <w:autoRedefine/>
    <w:qFormat/>
    <w:uiPriority w:val="0"/>
    <w:pPr>
      <w:wordWrap w:val="0"/>
      <w:jc w:val="both"/>
    </w:pPr>
    <w:rPr>
      <w:rFonts w:ascii="Calibri" w:hAnsi="Calibri" w:eastAsia="宋体" w:cs="Times New Roman"/>
      <w:sz w:val="21"/>
      <w:lang w:val="en-US" w:eastAsia="zh-CN" w:bidi="ar-SA"/>
    </w:rPr>
  </w:style>
  <w:style w:type="paragraph" w:customStyle="1" w:styleId="297">
    <w:name w:val="xl96"/>
    <w:basedOn w:val="1"/>
    <w:next w:val="248"/>
    <w:autoRedefine/>
    <w:qFormat/>
    <w:uiPriority w:val="0"/>
    <w:pPr>
      <w:widowControl/>
      <w:shd w:val="clear" w:color="000000" w:fill="FFFFFF"/>
      <w:spacing w:before="280" w:after="280"/>
      <w:jc w:val="center"/>
    </w:pPr>
    <w:rPr>
      <w:rFonts w:ascii="宋体" w:hAnsi="Calibri"/>
      <w:kern w:val="0"/>
      <w:sz w:val="20"/>
      <w:szCs w:val="20"/>
    </w:rPr>
  </w:style>
  <w:style w:type="paragraph" w:customStyle="1" w:styleId="298">
    <w:name w:val="xl106"/>
    <w:basedOn w:val="1"/>
    <w:next w:val="282"/>
    <w:autoRedefine/>
    <w:qFormat/>
    <w:uiPriority w:val="0"/>
    <w:pPr>
      <w:widowControl/>
      <w:shd w:val="clear" w:color="000000" w:fill="FFFFFF"/>
      <w:spacing w:before="280" w:after="280"/>
    </w:pPr>
    <w:rPr>
      <w:rFonts w:ascii="宋体" w:hAnsi="Calibri"/>
      <w:kern w:val="0"/>
      <w:sz w:val="20"/>
      <w:szCs w:val="20"/>
    </w:rPr>
  </w:style>
  <w:style w:type="paragraph" w:customStyle="1" w:styleId="299">
    <w:name w:val="toc 35"/>
    <w:next w:val="1"/>
    <w:autoRedefine/>
    <w:qFormat/>
    <w:uiPriority w:val="0"/>
    <w:pPr>
      <w:wordWrap w:val="0"/>
      <w:ind w:left="850"/>
      <w:jc w:val="both"/>
    </w:pPr>
    <w:rPr>
      <w:rFonts w:ascii="Calibri" w:hAnsi="Calibri" w:eastAsia="宋体" w:cs="Times New Roman"/>
      <w:sz w:val="21"/>
      <w:lang w:val="en-US" w:eastAsia="zh-CN" w:bidi="ar-SA"/>
    </w:rPr>
  </w:style>
  <w:style w:type="paragraph" w:customStyle="1" w:styleId="300">
    <w:name w:val="TOC Heading14"/>
    <w:next w:val="1"/>
    <w:autoRedefine/>
    <w:qFormat/>
    <w:uiPriority w:val="0"/>
    <w:pPr>
      <w:wordWrap w:val="0"/>
    </w:pPr>
    <w:rPr>
      <w:rFonts w:ascii="Calibri" w:hAnsi="Calibri" w:eastAsia="宋体" w:cs="Times New Roman"/>
      <w:sz w:val="32"/>
      <w:lang w:val="en-US" w:eastAsia="zh-CN" w:bidi="ar-SA"/>
    </w:rPr>
  </w:style>
  <w:style w:type="paragraph" w:customStyle="1" w:styleId="301">
    <w:name w:val="Char Char Char Char Char Char Char1"/>
    <w:basedOn w:val="1"/>
    <w:next w:val="302"/>
    <w:autoRedefine/>
    <w:qFormat/>
    <w:uiPriority w:val="0"/>
    <w:pPr>
      <w:widowControl/>
      <w:spacing w:after="160" w:line="240" w:lineRule="exact"/>
    </w:pPr>
    <w:rPr>
      <w:rFonts w:hAnsi="Calibri"/>
      <w:kern w:val="0"/>
      <w:szCs w:val="20"/>
    </w:rPr>
  </w:style>
  <w:style w:type="paragraph" w:customStyle="1" w:styleId="302">
    <w:name w:val="toc 67"/>
    <w:next w:val="1"/>
    <w:autoRedefine/>
    <w:qFormat/>
    <w:uiPriority w:val="0"/>
    <w:pPr>
      <w:wordWrap w:val="0"/>
      <w:ind w:left="2125"/>
      <w:jc w:val="both"/>
    </w:pPr>
    <w:rPr>
      <w:rFonts w:ascii="Calibri" w:hAnsi="Calibri" w:eastAsia="宋体" w:cs="Times New Roman"/>
      <w:sz w:val="21"/>
      <w:lang w:val="en-US" w:eastAsia="zh-CN" w:bidi="ar-SA"/>
    </w:rPr>
  </w:style>
  <w:style w:type="paragraph" w:customStyle="1" w:styleId="303">
    <w:name w:val="列出段落4"/>
    <w:basedOn w:val="1"/>
    <w:next w:val="304"/>
    <w:autoRedefine/>
    <w:qFormat/>
    <w:uiPriority w:val="0"/>
    <w:pPr>
      <w:ind w:firstLine="420"/>
    </w:pPr>
    <w:rPr>
      <w:rFonts w:hAnsi="Calibri"/>
      <w:kern w:val="0"/>
      <w:szCs w:val="20"/>
    </w:rPr>
  </w:style>
  <w:style w:type="paragraph" w:customStyle="1" w:styleId="304">
    <w:name w:val="TOC Heading9"/>
    <w:next w:val="1"/>
    <w:autoRedefine/>
    <w:qFormat/>
    <w:uiPriority w:val="0"/>
    <w:pPr>
      <w:wordWrap w:val="0"/>
    </w:pPr>
    <w:rPr>
      <w:rFonts w:ascii="Calibri" w:hAnsi="Calibri" w:eastAsia="宋体" w:cs="Times New Roman"/>
      <w:sz w:val="32"/>
      <w:lang w:val="en-US" w:eastAsia="zh-CN" w:bidi="ar-SA"/>
    </w:rPr>
  </w:style>
  <w:style w:type="paragraph" w:customStyle="1" w:styleId="305">
    <w:name w:val="xl71"/>
    <w:basedOn w:val="1"/>
    <w:next w:val="306"/>
    <w:autoRedefine/>
    <w:qFormat/>
    <w:uiPriority w:val="0"/>
    <w:pPr>
      <w:widowControl/>
      <w:shd w:val="clear" w:color="000000" w:fill="FFFFFF"/>
      <w:spacing w:before="280" w:after="280"/>
    </w:pPr>
    <w:rPr>
      <w:rFonts w:ascii="宋体" w:hAnsi="Calibri"/>
      <w:kern w:val="0"/>
      <w:sz w:val="24"/>
      <w:szCs w:val="20"/>
    </w:rPr>
  </w:style>
  <w:style w:type="paragraph" w:customStyle="1" w:styleId="306">
    <w:name w:val="toc 115"/>
    <w:next w:val="1"/>
    <w:autoRedefine/>
    <w:qFormat/>
    <w:uiPriority w:val="0"/>
    <w:pPr>
      <w:wordWrap w:val="0"/>
      <w:jc w:val="both"/>
    </w:pPr>
    <w:rPr>
      <w:rFonts w:ascii="Calibri" w:hAnsi="Calibri" w:eastAsia="宋体" w:cs="Times New Roman"/>
      <w:sz w:val="21"/>
      <w:lang w:val="en-US" w:eastAsia="zh-CN" w:bidi="ar-SA"/>
    </w:rPr>
  </w:style>
  <w:style w:type="paragraph" w:customStyle="1" w:styleId="307">
    <w:name w:val="toc 51"/>
    <w:next w:val="1"/>
    <w:autoRedefine/>
    <w:qFormat/>
    <w:uiPriority w:val="0"/>
    <w:pPr>
      <w:wordWrap w:val="0"/>
      <w:ind w:left="1700"/>
      <w:jc w:val="both"/>
    </w:pPr>
    <w:rPr>
      <w:rFonts w:ascii="Calibri" w:hAnsi="Calibri" w:eastAsia="宋体" w:cs="Times New Roman"/>
      <w:sz w:val="21"/>
      <w:lang w:val="en-US" w:eastAsia="zh-CN" w:bidi="ar-SA"/>
    </w:rPr>
  </w:style>
  <w:style w:type="paragraph" w:customStyle="1" w:styleId="308">
    <w:name w:val="toc 47"/>
    <w:next w:val="1"/>
    <w:autoRedefine/>
    <w:qFormat/>
    <w:uiPriority w:val="0"/>
    <w:pPr>
      <w:wordWrap w:val="0"/>
      <w:ind w:left="1275"/>
      <w:jc w:val="both"/>
    </w:pPr>
    <w:rPr>
      <w:rFonts w:ascii="Calibri" w:hAnsi="Calibri" w:eastAsia="宋体" w:cs="Times New Roman"/>
      <w:sz w:val="21"/>
      <w:lang w:val="en-US" w:eastAsia="zh-CN" w:bidi="ar-SA"/>
    </w:rPr>
  </w:style>
  <w:style w:type="paragraph" w:customStyle="1" w:styleId="309">
    <w:name w:val="xl108"/>
    <w:basedOn w:val="1"/>
    <w:next w:val="310"/>
    <w:autoRedefine/>
    <w:qFormat/>
    <w:uiPriority w:val="0"/>
    <w:pPr>
      <w:widowControl/>
      <w:shd w:val="clear" w:color="000000" w:fill="FFFFFF"/>
      <w:spacing w:before="280" w:after="280"/>
    </w:pPr>
    <w:rPr>
      <w:rFonts w:ascii="宋体" w:hAnsi="Calibri"/>
      <w:kern w:val="0"/>
      <w:sz w:val="18"/>
      <w:szCs w:val="20"/>
    </w:rPr>
  </w:style>
  <w:style w:type="paragraph" w:customStyle="1" w:styleId="310">
    <w:name w:val="toc 18"/>
    <w:next w:val="1"/>
    <w:autoRedefine/>
    <w:qFormat/>
    <w:uiPriority w:val="0"/>
    <w:pPr>
      <w:wordWrap w:val="0"/>
      <w:jc w:val="both"/>
    </w:pPr>
    <w:rPr>
      <w:rFonts w:ascii="Calibri" w:hAnsi="Calibri" w:eastAsia="宋体" w:cs="Times New Roman"/>
      <w:sz w:val="21"/>
      <w:lang w:val="en-US" w:eastAsia="zh-CN" w:bidi="ar-SA"/>
    </w:rPr>
  </w:style>
  <w:style w:type="paragraph" w:customStyle="1" w:styleId="311">
    <w:name w:val="TOC Heading7"/>
    <w:next w:val="1"/>
    <w:autoRedefine/>
    <w:qFormat/>
    <w:uiPriority w:val="0"/>
    <w:pPr>
      <w:wordWrap w:val="0"/>
    </w:pPr>
    <w:rPr>
      <w:rFonts w:ascii="Calibri" w:hAnsi="Calibri" w:eastAsia="宋体" w:cs="Times New Roman"/>
      <w:sz w:val="32"/>
      <w:lang w:val="en-US" w:eastAsia="zh-CN" w:bidi="ar-SA"/>
    </w:rPr>
  </w:style>
  <w:style w:type="character" w:customStyle="1" w:styleId="312">
    <w:name w:val="副标题 字符"/>
    <w:basedOn w:val="48"/>
    <w:link w:val="34"/>
    <w:autoRedefine/>
    <w:qFormat/>
    <w:uiPriority w:val="0"/>
    <w:rPr>
      <w:rFonts w:ascii="Calibri" w:hAnsi="Calibri"/>
      <w:sz w:val="24"/>
    </w:rPr>
  </w:style>
  <w:style w:type="paragraph" w:customStyle="1" w:styleId="313">
    <w:name w:val="目录 71"/>
    <w:next w:val="1"/>
    <w:autoRedefine/>
    <w:qFormat/>
    <w:uiPriority w:val="0"/>
    <w:pPr>
      <w:wordWrap w:val="0"/>
      <w:ind w:left="2550"/>
      <w:jc w:val="both"/>
    </w:pPr>
    <w:rPr>
      <w:rFonts w:ascii="Calibri" w:hAnsi="Calibri" w:eastAsia="宋体" w:cs="Times New Roman"/>
      <w:sz w:val="21"/>
      <w:lang w:val="en-US" w:eastAsia="zh-CN" w:bidi="ar-SA"/>
    </w:rPr>
  </w:style>
  <w:style w:type="paragraph" w:customStyle="1" w:styleId="314">
    <w:name w:val="toc 413"/>
    <w:next w:val="1"/>
    <w:autoRedefine/>
    <w:qFormat/>
    <w:uiPriority w:val="0"/>
    <w:pPr>
      <w:wordWrap w:val="0"/>
      <w:ind w:left="1275"/>
      <w:jc w:val="both"/>
    </w:pPr>
    <w:rPr>
      <w:rFonts w:ascii="Calibri" w:hAnsi="Calibri" w:eastAsia="宋体" w:cs="Times New Roman"/>
      <w:sz w:val="21"/>
      <w:lang w:val="en-US" w:eastAsia="zh-CN" w:bidi="ar-SA"/>
    </w:rPr>
  </w:style>
  <w:style w:type="paragraph" w:customStyle="1" w:styleId="315">
    <w:name w:val="toc 85"/>
    <w:next w:val="1"/>
    <w:autoRedefine/>
    <w:qFormat/>
    <w:uiPriority w:val="0"/>
    <w:pPr>
      <w:wordWrap w:val="0"/>
      <w:ind w:left="2975"/>
      <w:jc w:val="both"/>
    </w:pPr>
    <w:rPr>
      <w:rFonts w:ascii="Calibri" w:hAnsi="Calibri" w:eastAsia="宋体" w:cs="Times New Roman"/>
      <w:sz w:val="21"/>
      <w:lang w:val="en-US" w:eastAsia="zh-CN" w:bidi="ar-SA"/>
    </w:rPr>
  </w:style>
  <w:style w:type="paragraph" w:customStyle="1" w:styleId="316">
    <w:name w:val="列出段落6"/>
    <w:basedOn w:val="1"/>
    <w:next w:val="317"/>
    <w:autoRedefine/>
    <w:qFormat/>
    <w:uiPriority w:val="0"/>
    <w:pPr>
      <w:ind w:firstLine="420"/>
    </w:pPr>
    <w:rPr>
      <w:rFonts w:hAnsi="Calibri"/>
      <w:kern w:val="0"/>
      <w:szCs w:val="20"/>
    </w:rPr>
  </w:style>
  <w:style w:type="paragraph" w:customStyle="1" w:styleId="317">
    <w:name w:val="toc 86"/>
    <w:next w:val="1"/>
    <w:autoRedefine/>
    <w:qFormat/>
    <w:uiPriority w:val="0"/>
    <w:pPr>
      <w:wordWrap w:val="0"/>
      <w:ind w:left="2975"/>
      <w:jc w:val="both"/>
    </w:pPr>
    <w:rPr>
      <w:rFonts w:ascii="Calibri" w:hAnsi="Calibri" w:eastAsia="宋体" w:cs="Times New Roman"/>
      <w:sz w:val="21"/>
      <w:lang w:val="en-US" w:eastAsia="zh-CN" w:bidi="ar-SA"/>
    </w:rPr>
  </w:style>
  <w:style w:type="paragraph" w:customStyle="1" w:styleId="318">
    <w:name w:val="xl80"/>
    <w:basedOn w:val="1"/>
    <w:next w:val="319"/>
    <w:autoRedefine/>
    <w:qFormat/>
    <w:uiPriority w:val="0"/>
    <w:pPr>
      <w:widowControl/>
      <w:shd w:val="clear" w:color="000000" w:fill="FFFFFF"/>
      <w:spacing w:before="280" w:after="280"/>
      <w:jc w:val="center"/>
    </w:pPr>
    <w:rPr>
      <w:rFonts w:ascii="宋体" w:hAnsi="Calibri"/>
      <w:b/>
      <w:kern w:val="0"/>
      <w:sz w:val="20"/>
      <w:szCs w:val="20"/>
    </w:rPr>
  </w:style>
  <w:style w:type="paragraph" w:customStyle="1" w:styleId="319">
    <w:name w:val="toc 49"/>
    <w:next w:val="1"/>
    <w:autoRedefine/>
    <w:qFormat/>
    <w:uiPriority w:val="0"/>
    <w:pPr>
      <w:wordWrap w:val="0"/>
      <w:ind w:left="1275"/>
      <w:jc w:val="both"/>
    </w:pPr>
    <w:rPr>
      <w:rFonts w:ascii="Calibri" w:hAnsi="Calibri" w:eastAsia="宋体" w:cs="Times New Roman"/>
      <w:sz w:val="21"/>
      <w:lang w:val="en-US" w:eastAsia="zh-CN" w:bidi="ar-SA"/>
    </w:rPr>
  </w:style>
  <w:style w:type="paragraph" w:customStyle="1" w:styleId="320">
    <w:name w:val="Char Char Char Char1"/>
    <w:basedOn w:val="1"/>
    <w:next w:val="321"/>
    <w:autoRedefine/>
    <w:qFormat/>
    <w:uiPriority w:val="0"/>
    <w:pPr>
      <w:widowControl/>
      <w:spacing w:after="160" w:line="240" w:lineRule="exact"/>
    </w:pPr>
    <w:rPr>
      <w:rFonts w:ascii="Verdana" w:hAnsi="Calibri" w:eastAsia="仿宋_GB2312"/>
      <w:kern w:val="0"/>
      <w:sz w:val="24"/>
      <w:szCs w:val="20"/>
    </w:rPr>
  </w:style>
  <w:style w:type="paragraph" w:customStyle="1" w:styleId="321">
    <w:name w:val="toc 713"/>
    <w:next w:val="1"/>
    <w:autoRedefine/>
    <w:qFormat/>
    <w:uiPriority w:val="0"/>
    <w:pPr>
      <w:wordWrap w:val="0"/>
      <w:ind w:left="2550"/>
      <w:jc w:val="both"/>
    </w:pPr>
    <w:rPr>
      <w:rFonts w:ascii="Calibri" w:hAnsi="Calibri" w:eastAsia="宋体" w:cs="Times New Roman"/>
      <w:sz w:val="21"/>
      <w:lang w:val="en-US" w:eastAsia="zh-CN" w:bidi="ar-SA"/>
    </w:rPr>
  </w:style>
  <w:style w:type="paragraph" w:customStyle="1" w:styleId="322">
    <w:name w:val="xl102"/>
    <w:basedOn w:val="1"/>
    <w:next w:val="323"/>
    <w:autoRedefine/>
    <w:qFormat/>
    <w:uiPriority w:val="0"/>
    <w:pPr>
      <w:widowControl/>
      <w:shd w:val="clear" w:color="000000" w:fill="FFFFFF"/>
      <w:spacing w:before="280" w:after="280"/>
      <w:jc w:val="right"/>
    </w:pPr>
    <w:rPr>
      <w:rFonts w:ascii="宋体" w:hAnsi="Calibri"/>
      <w:kern w:val="0"/>
      <w:sz w:val="20"/>
      <w:szCs w:val="20"/>
    </w:rPr>
  </w:style>
  <w:style w:type="paragraph" w:customStyle="1" w:styleId="323">
    <w:name w:val="toc 17"/>
    <w:next w:val="1"/>
    <w:autoRedefine/>
    <w:qFormat/>
    <w:uiPriority w:val="0"/>
    <w:pPr>
      <w:wordWrap w:val="0"/>
      <w:jc w:val="both"/>
    </w:pPr>
    <w:rPr>
      <w:rFonts w:ascii="Calibri" w:hAnsi="Calibri" w:eastAsia="宋体" w:cs="Times New Roman"/>
      <w:sz w:val="21"/>
      <w:lang w:val="en-US" w:eastAsia="zh-CN" w:bidi="ar-SA"/>
    </w:rPr>
  </w:style>
  <w:style w:type="paragraph" w:customStyle="1" w:styleId="324">
    <w:name w:val="toc 46"/>
    <w:next w:val="1"/>
    <w:autoRedefine/>
    <w:qFormat/>
    <w:uiPriority w:val="0"/>
    <w:pPr>
      <w:wordWrap w:val="0"/>
      <w:ind w:left="1275"/>
      <w:jc w:val="both"/>
    </w:pPr>
    <w:rPr>
      <w:rFonts w:ascii="Calibri" w:hAnsi="Calibri" w:eastAsia="宋体" w:cs="Times New Roman"/>
      <w:sz w:val="21"/>
      <w:lang w:val="en-US" w:eastAsia="zh-CN" w:bidi="ar-SA"/>
    </w:rPr>
  </w:style>
  <w:style w:type="paragraph" w:customStyle="1" w:styleId="325">
    <w:name w:val="toc 311"/>
    <w:next w:val="1"/>
    <w:autoRedefine/>
    <w:qFormat/>
    <w:uiPriority w:val="0"/>
    <w:pPr>
      <w:wordWrap w:val="0"/>
      <w:ind w:left="850"/>
      <w:jc w:val="both"/>
    </w:pPr>
    <w:rPr>
      <w:rFonts w:ascii="Calibri" w:hAnsi="Calibri" w:eastAsia="宋体" w:cs="Times New Roman"/>
      <w:sz w:val="21"/>
      <w:lang w:val="en-US" w:eastAsia="zh-CN" w:bidi="ar-SA"/>
    </w:rPr>
  </w:style>
  <w:style w:type="paragraph" w:customStyle="1" w:styleId="326">
    <w:name w:val="xl65"/>
    <w:basedOn w:val="1"/>
    <w:next w:val="227"/>
    <w:autoRedefine/>
    <w:qFormat/>
    <w:uiPriority w:val="0"/>
    <w:pPr>
      <w:widowControl/>
      <w:shd w:val="clear" w:color="000000" w:fill="FFFFFF"/>
      <w:spacing w:before="280" w:after="280"/>
      <w:jc w:val="center"/>
    </w:pPr>
    <w:rPr>
      <w:rFonts w:ascii="宋体" w:hAnsi="Calibri"/>
      <w:kern w:val="0"/>
      <w:sz w:val="20"/>
      <w:szCs w:val="20"/>
    </w:rPr>
  </w:style>
  <w:style w:type="paragraph" w:customStyle="1" w:styleId="327">
    <w:name w:val="toc 94"/>
    <w:next w:val="1"/>
    <w:autoRedefine/>
    <w:qFormat/>
    <w:uiPriority w:val="0"/>
    <w:pPr>
      <w:wordWrap w:val="0"/>
      <w:ind w:left="3400"/>
      <w:jc w:val="both"/>
    </w:pPr>
    <w:rPr>
      <w:rFonts w:ascii="Calibri" w:hAnsi="Calibri" w:eastAsia="宋体" w:cs="Times New Roman"/>
      <w:sz w:val="21"/>
      <w:lang w:val="en-US" w:eastAsia="zh-CN" w:bidi="ar-SA"/>
    </w:rPr>
  </w:style>
  <w:style w:type="paragraph" w:customStyle="1" w:styleId="328">
    <w:name w:val="toc 55"/>
    <w:next w:val="1"/>
    <w:autoRedefine/>
    <w:qFormat/>
    <w:uiPriority w:val="0"/>
    <w:pPr>
      <w:wordWrap w:val="0"/>
      <w:ind w:left="1700"/>
      <w:jc w:val="both"/>
    </w:pPr>
    <w:rPr>
      <w:rFonts w:ascii="Calibri" w:hAnsi="Calibri" w:eastAsia="宋体" w:cs="Times New Roman"/>
      <w:sz w:val="21"/>
      <w:lang w:val="en-US" w:eastAsia="zh-CN" w:bidi="ar-SA"/>
    </w:rPr>
  </w:style>
  <w:style w:type="paragraph" w:customStyle="1" w:styleId="329">
    <w:name w:val="toc 812"/>
    <w:next w:val="1"/>
    <w:autoRedefine/>
    <w:qFormat/>
    <w:uiPriority w:val="0"/>
    <w:pPr>
      <w:wordWrap w:val="0"/>
      <w:ind w:left="2975"/>
      <w:jc w:val="both"/>
    </w:pPr>
    <w:rPr>
      <w:rFonts w:ascii="Calibri" w:hAnsi="Calibri" w:eastAsia="宋体" w:cs="Times New Roman"/>
      <w:sz w:val="21"/>
      <w:lang w:val="en-US" w:eastAsia="zh-CN" w:bidi="ar-SA"/>
    </w:rPr>
  </w:style>
  <w:style w:type="paragraph" w:customStyle="1" w:styleId="330">
    <w:name w:val="xl75"/>
    <w:basedOn w:val="1"/>
    <w:next w:val="331"/>
    <w:autoRedefine/>
    <w:qFormat/>
    <w:uiPriority w:val="0"/>
    <w:pPr>
      <w:widowControl/>
      <w:shd w:val="clear" w:color="000000" w:fill="FFFFFF"/>
      <w:spacing w:before="280" w:after="280"/>
    </w:pPr>
    <w:rPr>
      <w:rFonts w:ascii="宋体" w:hAnsi="Calibri"/>
      <w:kern w:val="0"/>
      <w:sz w:val="20"/>
      <w:szCs w:val="20"/>
    </w:rPr>
  </w:style>
  <w:style w:type="paragraph" w:customStyle="1" w:styleId="331">
    <w:name w:val="toc 914"/>
    <w:next w:val="1"/>
    <w:autoRedefine/>
    <w:qFormat/>
    <w:uiPriority w:val="0"/>
    <w:pPr>
      <w:wordWrap w:val="0"/>
      <w:ind w:left="3400"/>
      <w:jc w:val="both"/>
    </w:pPr>
    <w:rPr>
      <w:rFonts w:ascii="Calibri" w:hAnsi="Calibri" w:eastAsia="宋体" w:cs="Times New Roman"/>
      <w:sz w:val="21"/>
      <w:lang w:val="en-US" w:eastAsia="zh-CN" w:bidi="ar-SA"/>
    </w:rPr>
  </w:style>
  <w:style w:type="paragraph" w:customStyle="1" w:styleId="332">
    <w:name w:val="toc 19"/>
    <w:next w:val="1"/>
    <w:autoRedefine/>
    <w:qFormat/>
    <w:uiPriority w:val="0"/>
    <w:pPr>
      <w:wordWrap w:val="0"/>
      <w:jc w:val="both"/>
    </w:pPr>
    <w:rPr>
      <w:rFonts w:ascii="Calibri" w:hAnsi="Calibri" w:eastAsia="宋体" w:cs="Times New Roman"/>
      <w:sz w:val="21"/>
      <w:lang w:val="en-US" w:eastAsia="zh-CN" w:bidi="ar-SA"/>
    </w:rPr>
  </w:style>
  <w:style w:type="paragraph" w:customStyle="1" w:styleId="333">
    <w:name w:val="TOC Heading6"/>
    <w:next w:val="1"/>
    <w:autoRedefine/>
    <w:qFormat/>
    <w:uiPriority w:val="0"/>
    <w:pPr>
      <w:wordWrap w:val="0"/>
    </w:pPr>
    <w:rPr>
      <w:rFonts w:ascii="Calibri" w:hAnsi="Calibri" w:eastAsia="宋体" w:cs="Times New Roman"/>
      <w:sz w:val="32"/>
      <w:lang w:val="en-US" w:eastAsia="zh-CN" w:bidi="ar-SA"/>
    </w:rPr>
  </w:style>
  <w:style w:type="paragraph" w:customStyle="1" w:styleId="334">
    <w:name w:val="toc 52"/>
    <w:next w:val="1"/>
    <w:autoRedefine/>
    <w:qFormat/>
    <w:uiPriority w:val="0"/>
    <w:pPr>
      <w:wordWrap w:val="0"/>
      <w:ind w:left="1700"/>
      <w:jc w:val="both"/>
    </w:pPr>
    <w:rPr>
      <w:rFonts w:ascii="Calibri" w:hAnsi="Calibri" w:eastAsia="宋体" w:cs="Times New Roman"/>
      <w:sz w:val="21"/>
      <w:lang w:val="en-US" w:eastAsia="zh-CN" w:bidi="ar-SA"/>
    </w:rPr>
  </w:style>
  <w:style w:type="paragraph" w:customStyle="1" w:styleId="335">
    <w:name w:val="toc 36"/>
    <w:next w:val="1"/>
    <w:autoRedefine/>
    <w:qFormat/>
    <w:uiPriority w:val="0"/>
    <w:pPr>
      <w:wordWrap w:val="0"/>
      <w:ind w:left="850"/>
      <w:jc w:val="both"/>
    </w:pPr>
    <w:rPr>
      <w:rFonts w:ascii="Calibri" w:hAnsi="Calibri" w:eastAsia="宋体" w:cs="Times New Roman"/>
      <w:sz w:val="21"/>
      <w:lang w:val="en-US" w:eastAsia="zh-CN" w:bidi="ar-SA"/>
    </w:rPr>
  </w:style>
  <w:style w:type="paragraph" w:customStyle="1" w:styleId="336">
    <w:name w:val="toc 82"/>
    <w:next w:val="1"/>
    <w:autoRedefine/>
    <w:qFormat/>
    <w:uiPriority w:val="0"/>
    <w:pPr>
      <w:wordWrap w:val="0"/>
      <w:ind w:left="2975"/>
      <w:jc w:val="both"/>
    </w:pPr>
    <w:rPr>
      <w:rFonts w:ascii="Calibri" w:hAnsi="Calibri" w:eastAsia="宋体" w:cs="Times New Roman"/>
      <w:sz w:val="21"/>
      <w:lang w:val="en-US" w:eastAsia="zh-CN" w:bidi="ar-SA"/>
    </w:rPr>
  </w:style>
  <w:style w:type="paragraph" w:customStyle="1" w:styleId="337">
    <w:name w:val="xl104"/>
    <w:basedOn w:val="1"/>
    <w:next w:val="338"/>
    <w:autoRedefine/>
    <w:qFormat/>
    <w:uiPriority w:val="0"/>
    <w:pPr>
      <w:widowControl/>
      <w:shd w:val="clear" w:color="000000" w:fill="FFFFFF"/>
      <w:spacing w:before="280" w:after="280"/>
      <w:jc w:val="center"/>
    </w:pPr>
    <w:rPr>
      <w:rFonts w:ascii="宋体" w:hAnsi="Calibri"/>
      <w:kern w:val="0"/>
      <w:sz w:val="20"/>
      <w:szCs w:val="20"/>
    </w:rPr>
  </w:style>
  <w:style w:type="paragraph" w:customStyle="1" w:styleId="338">
    <w:name w:val="toc 210"/>
    <w:next w:val="1"/>
    <w:autoRedefine/>
    <w:qFormat/>
    <w:uiPriority w:val="0"/>
    <w:pPr>
      <w:wordWrap w:val="0"/>
      <w:ind w:left="425"/>
      <w:jc w:val="both"/>
    </w:pPr>
    <w:rPr>
      <w:rFonts w:ascii="Calibri" w:hAnsi="Calibri" w:eastAsia="宋体" w:cs="Times New Roman"/>
      <w:sz w:val="21"/>
      <w:lang w:val="en-US" w:eastAsia="zh-CN" w:bidi="ar-SA"/>
    </w:rPr>
  </w:style>
  <w:style w:type="paragraph" w:customStyle="1" w:styleId="339">
    <w:name w:val="toc 110"/>
    <w:next w:val="1"/>
    <w:autoRedefine/>
    <w:qFormat/>
    <w:uiPriority w:val="0"/>
    <w:pPr>
      <w:wordWrap w:val="0"/>
      <w:jc w:val="both"/>
    </w:pPr>
    <w:rPr>
      <w:rFonts w:ascii="Calibri" w:hAnsi="Calibri" w:eastAsia="宋体" w:cs="Times New Roman"/>
      <w:sz w:val="21"/>
      <w:lang w:val="en-US" w:eastAsia="zh-CN" w:bidi="ar-SA"/>
    </w:rPr>
  </w:style>
  <w:style w:type="paragraph" w:customStyle="1" w:styleId="340">
    <w:name w:val="toc 66"/>
    <w:next w:val="1"/>
    <w:autoRedefine/>
    <w:qFormat/>
    <w:uiPriority w:val="0"/>
    <w:pPr>
      <w:wordWrap w:val="0"/>
      <w:ind w:left="2125"/>
      <w:jc w:val="both"/>
    </w:pPr>
    <w:rPr>
      <w:rFonts w:ascii="Calibri" w:hAnsi="Calibri" w:eastAsia="宋体" w:cs="Times New Roman"/>
      <w:sz w:val="21"/>
      <w:lang w:val="en-US" w:eastAsia="zh-CN" w:bidi="ar-SA"/>
    </w:rPr>
  </w:style>
  <w:style w:type="paragraph" w:customStyle="1" w:styleId="341">
    <w:name w:val="toc 31"/>
    <w:next w:val="1"/>
    <w:autoRedefine/>
    <w:qFormat/>
    <w:uiPriority w:val="0"/>
    <w:pPr>
      <w:wordWrap w:val="0"/>
      <w:ind w:left="850"/>
      <w:jc w:val="both"/>
    </w:pPr>
    <w:rPr>
      <w:rFonts w:ascii="Calibri" w:hAnsi="Calibri" w:eastAsia="宋体" w:cs="Times New Roman"/>
      <w:sz w:val="21"/>
      <w:lang w:val="en-US" w:eastAsia="zh-CN" w:bidi="ar-SA"/>
    </w:rPr>
  </w:style>
  <w:style w:type="paragraph" w:customStyle="1" w:styleId="342">
    <w:name w:val="toc 93"/>
    <w:next w:val="1"/>
    <w:autoRedefine/>
    <w:qFormat/>
    <w:uiPriority w:val="0"/>
    <w:pPr>
      <w:wordWrap w:val="0"/>
      <w:ind w:left="3400"/>
      <w:jc w:val="both"/>
    </w:pPr>
    <w:rPr>
      <w:rFonts w:ascii="Calibri" w:hAnsi="Calibri" w:eastAsia="宋体" w:cs="Times New Roman"/>
      <w:sz w:val="21"/>
      <w:lang w:val="en-US" w:eastAsia="zh-CN" w:bidi="ar-SA"/>
    </w:rPr>
  </w:style>
  <w:style w:type="paragraph" w:customStyle="1" w:styleId="343">
    <w:name w:val="toc 614"/>
    <w:next w:val="1"/>
    <w:autoRedefine/>
    <w:qFormat/>
    <w:uiPriority w:val="0"/>
    <w:pPr>
      <w:wordWrap w:val="0"/>
      <w:ind w:left="2125"/>
      <w:jc w:val="both"/>
    </w:pPr>
    <w:rPr>
      <w:rFonts w:ascii="Calibri" w:hAnsi="Calibri" w:eastAsia="宋体" w:cs="Times New Roman"/>
      <w:sz w:val="21"/>
      <w:lang w:val="en-US" w:eastAsia="zh-CN" w:bidi="ar-SA"/>
    </w:rPr>
  </w:style>
  <w:style w:type="paragraph" w:customStyle="1" w:styleId="344">
    <w:name w:val="无间隔1"/>
    <w:next w:val="339"/>
    <w:autoRedefine/>
    <w:qFormat/>
    <w:uiPriority w:val="0"/>
    <w:pPr>
      <w:widowControl w:val="0"/>
      <w:jc w:val="both"/>
    </w:pPr>
    <w:rPr>
      <w:rFonts w:ascii="Calibri" w:hAnsi="Calibri" w:eastAsia="宋体" w:cs="Times New Roman"/>
      <w:sz w:val="22"/>
      <w:lang w:val="en-US" w:eastAsia="zh-CN" w:bidi="ar-SA"/>
    </w:rPr>
  </w:style>
  <w:style w:type="paragraph" w:customStyle="1" w:styleId="345">
    <w:name w:val="目录 41"/>
    <w:next w:val="1"/>
    <w:autoRedefine/>
    <w:qFormat/>
    <w:uiPriority w:val="0"/>
    <w:pPr>
      <w:wordWrap w:val="0"/>
      <w:ind w:left="1275"/>
      <w:jc w:val="both"/>
    </w:pPr>
    <w:rPr>
      <w:rFonts w:ascii="Calibri" w:hAnsi="Calibri" w:eastAsia="宋体" w:cs="Times New Roman"/>
      <w:sz w:val="21"/>
      <w:lang w:val="en-US" w:eastAsia="zh-CN" w:bidi="ar-SA"/>
    </w:rPr>
  </w:style>
  <w:style w:type="paragraph" w:customStyle="1" w:styleId="346">
    <w:name w:val="xl105"/>
    <w:basedOn w:val="1"/>
    <w:next w:val="347"/>
    <w:autoRedefine/>
    <w:qFormat/>
    <w:uiPriority w:val="0"/>
    <w:pPr>
      <w:widowControl/>
      <w:shd w:val="clear" w:color="000000" w:fill="FFFFFF"/>
      <w:spacing w:before="280" w:after="280"/>
    </w:pPr>
    <w:rPr>
      <w:rFonts w:ascii="宋体" w:hAnsi="Calibri"/>
      <w:kern w:val="0"/>
      <w:sz w:val="18"/>
      <w:szCs w:val="20"/>
    </w:rPr>
  </w:style>
  <w:style w:type="paragraph" w:customStyle="1" w:styleId="347">
    <w:name w:val="toc 615"/>
    <w:next w:val="1"/>
    <w:autoRedefine/>
    <w:qFormat/>
    <w:uiPriority w:val="0"/>
    <w:pPr>
      <w:wordWrap w:val="0"/>
      <w:ind w:left="2125"/>
      <w:jc w:val="both"/>
    </w:pPr>
    <w:rPr>
      <w:rFonts w:ascii="Calibri" w:hAnsi="Calibri" w:eastAsia="宋体" w:cs="Times New Roman"/>
      <w:sz w:val="21"/>
      <w:lang w:val="en-US" w:eastAsia="zh-CN" w:bidi="ar-SA"/>
    </w:rPr>
  </w:style>
  <w:style w:type="paragraph" w:customStyle="1" w:styleId="348">
    <w:name w:val="toc 41"/>
    <w:next w:val="1"/>
    <w:autoRedefine/>
    <w:qFormat/>
    <w:uiPriority w:val="0"/>
    <w:pPr>
      <w:wordWrap w:val="0"/>
      <w:ind w:left="1275"/>
      <w:jc w:val="both"/>
    </w:pPr>
    <w:rPr>
      <w:rFonts w:ascii="Calibri" w:hAnsi="Calibri" w:eastAsia="宋体" w:cs="Times New Roman"/>
      <w:sz w:val="21"/>
      <w:lang w:val="en-US" w:eastAsia="zh-CN" w:bidi="ar-SA"/>
    </w:rPr>
  </w:style>
  <w:style w:type="paragraph" w:customStyle="1" w:styleId="349">
    <w:name w:val="toc 81"/>
    <w:next w:val="1"/>
    <w:autoRedefine/>
    <w:qFormat/>
    <w:uiPriority w:val="0"/>
    <w:pPr>
      <w:wordWrap w:val="0"/>
      <w:ind w:left="2975"/>
      <w:jc w:val="both"/>
    </w:pPr>
    <w:rPr>
      <w:rFonts w:ascii="Calibri" w:hAnsi="Calibri" w:eastAsia="宋体" w:cs="Times New Roman"/>
      <w:sz w:val="21"/>
      <w:lang w:val="en-US" w:eastAsia="zh-CN" w:bidi="ar-SA"/>
    </w:rPr>
  </w:style>
  <w:style w:type="paragraph" w:customStyle="1" w:styleId="350">
    <w:name w:val="xl111"/>
    <w:basedOn w:val="1"/>
    <w:next w:val="351"/>
    <w:autoRedefine/>
    <w:qFormat/>
    <w:uiPriority w:val="0"/>
    <w:pPr>
      <w:widowControl/>
      <w:shd w:val="clear" w:color="000000" w:fill="FFFFFF"/>
      <w:spacing w:before="280" w:after="280"/>
      <w:jc w:val="center"/>
    </w:pPr>
    <w:rPr>
      <w:rFonts w:ascii="宋体" w:hAnsi="Calibri"/>
      <w:b/>
      <w:kern w:val="0"/>
      <w:sz w:val="20"/>
      <w:szCs w:val="20"/>
    </w:rPr>
  </w:style>
  <w:style w:type="paragraph" w:customStyle="1" w:styleId="351">
    <w:name w:val="toc 88"/>
    <w:next w:val="1"/>
    <w:autoRedefine/>
    <w:qFormat/>
    <w:uiPriority w:val="0"/>
    <w:pPr>
      <w:wordWrap w:val="0"/>
      <w:ind w:left="2975"/>
      <w:jc w:val="both"/>
    </w:pPr>
    <w:rPr>
      <w:rFonts w:ascii="Calibri" w:hAnsi="Calibri" w:eastAsia="宋体" w:cs="Times New Roman"/>
      <w:sz w:val="21"/>
      <w:lang w:val="en-US" w:eastAsia="zh-CN" w:bidi="ar-SA"/>
    </w:rPr>
  </w:style>
  <w:style w:type="paragraph" w:customStyle="1" w:styleId="352">
    <w:name w:val="toc 84"/>
    <w:next w:val="1"/>
    <w:autoRedefine/>
    <w:qFormat/>
    <w:uiPriority w:val="0"/>
    <w:pPr>
      <w:wordWrap w:val="0"/>
      <w:ind w:left="2975"/>
      <w:jc w:val="both"/>
    </w:pPr>
    <w:rPr>
      <w:rFonts w:ascii="Calibri" w:hAnsi="Calibri" w:eastAsia="宋体" w:cs="Times New Roman"/>
      <w:sz w:val="21"/>
      <w:lang w:val="en-US" w:eastAsia="zh-CN" w:bidi="ar-SA"/>
    </w:rPr>
  </w:style>
  <w:style w:type="paragraph" w:customStyle="1" w:styleId="353">
    <w:name w:val="p0"/>
    <w:basedOn w:val="1"/>
    <w:next w:val="354"/>
    <w:autoRedefine/>
    <w:qFormat/>
    <w:uiPriority w:val="0"/>
    <w:pPr>
      <w:widowControl/>
      <w:spacing w:before="280" w:after="280"/>
    </w:pPr>
    <w:rPr>
      <w:rFonts w:ascii="宋体" w:hAnsi="Calibri"/>
      <w:kern w:val="0"/>
      <w:sz w:val="24"/>
      <w:szCs w:val="20"/>
    </w:rPr>
  </w:style>
  <w:style w:type="paragraph" w:customStyle="1" w:styleId="354">
    <w:name w:val="toc 69"/>
    <w:next w:val="1"/>
    <w:autoRedefine/>
    <w:qFormat/>
    <w:uiPriority w:val="0"/>
    <w:pPr>
      <w:wordWrap w:val="0"/>
      <w:ind w:left="2125"/>
      <w:jc w:val="both"/>
    </w:pPr>
    <w:rPr>
      <w:rFonts w:ascii="Calibri" w:hAnsi="Calibri" w:eastAsia="宋体" w:cs="Times New Roman"/>
      <w:sz w:val="21"/>
      <w:lang w:val="en-US" w:eastAsia="zh-CN" w:bidi="ar-SA"/>
    </w:rPr>
  </w:style>
  <w:style w:type="paragraph" w:customStyle="1" w:styleId="355">
    <w:name w:val="列出段落11"/>
    <w:basedOn w:val="1"/>
    <w:next w:val="356"/>
    <w:autoRedefine/>
    <w:qFormat/>
    <w:uiPriority w:val="0"/>
    <w:pPr>
      <w:widowControl/>
      <w:spacing w:line="360" w:lineRule="auto"/>
      <w:ind w:firstLine="420"/>
    </w:pPr>
    <w:rPr>
      <w:rFonts w:hAnsi="Calibri" w:eastAsia="微软雅黑"/>
      <w:kern w:val="0"/>
      <w:sz w:val="24"/>
      <w:szCs w:val="20"/>
    </w:rPr>
  </w:style>
  <w:style w:type="paragraph" w:customStyle="1" w:styleId="356">
    <w:name w:val="toc 214"/>
    <w:next w:val="1"/>
    <w:autoRedefine/>
    <w:qFormat/>
    <w:uiPriority w:val="0"/>
    <w:pPr>
      <w:wordWrap w:val="0"/>
      <w:ind w:left="425"/>
      <w:jc w:val="both"/>
    </w:pPr>
    <w:rPr>
      <w:rFonts w:ascii="Calibri" w:hAnsi="Calibri" w:eastAsia="宋体" w:cs="Times New Roman"/>
      <w:sz w:val="21"/>
      <w:lang w:val="en-US" w:eastAsia="zh-CN" w:bidi="ar-SA"/>
    </w:rPr>
  </w:style>
  <w:style w:type="paragraph" w:customStyle="1" w:styleId="357">
    <w:name w:val="toc 63"/>
    <w:next w:val="1"/>
    <w:autoRedefine/>
    <w:qFormat/>
    <w:uiPriority w:val="0"/>
    <w:pPr>
      <w:wordWrap w:val="0"/>
      <w:ind w:left="2125"/>
      <w:jc w:val="both"/>
    </w:pPr>
    <w:rPr>
      <w:rFonts w:ascii="Calibri" w:hAnsi="Calibri" w:eastAsia="宋体" w:cs="Times New Roman"/>
      <w:sz w:val="21"/>
      <w:lang w:val="en-US" w:eastAsia="zh-CN" w:bidi="ar-SA"/>
    </w:rPr>
  </w:style>
  <w:style w:type="paragraph" w:customStyle="1" w:styleId="358">
    <w:name w:val="xl91"/>
    <w:basedOn w:val="1"/>
    <w:next w:val="255"/>
    <w:autoRedefine/>
    <w:qFormat/>
    <w:uiPriority w:val="0"/>
    <w:pPr>
      <w:widowControl/>
      <w:shd w:val="clear" w:color="000000" w:fill="FFFFFF"/>
      <w:spacing w:before="280" w:after="280"/>
    </w:pPr>
    <w:rPr>
      <w:rFonts w:ascii="宋体" w:hAnsi="Calibri"/>
      <w:kern w:val="0"/>
      <w:sz w:val="20"/>
      <w:szCs w:val="20"/>
    </w:rPr>
  </w:style>
  <w:style w:type="paragraph" w:customStyle="1" w:styleId="359">
    <w:name w:val="toc 316"/>
    <w:next w:val="1"/>
    <w:autoRedefine/>
    <w:qFormat/>
    <w:uiPriority w:val="0"/>
    <w:pPr>
      <w:wordWrap w:val="0"/>
      <w:ind w:left="850"/>
      <w:jc w:val="both"/>
    </w:pPr>
    <w:rPr>
      <w:rFonts w:ascii="Calibri" w:hAnsi="Calibri" w:eastAsia="宋体" w:cs="Times New Roman"/>
      <w:sz w:val="21"/>
      <w:lang w:val="en-US" w:eastAsia="zh-CN" w:bidi="ar-SA"/>
    </w:rPr>
  </w:style>
  <w:style w:type="paragraph" w:customStyle="1" w:styleId="360">
    <w:name w:val="_Style 1"/>
    <w:basedOn w:val="1"/>
    <w:next w:val="361"/>
    <w:autoRedefine/>
    <w:qFormat/>
    <w:uiPriority w:val="0"/>
    <w:pPr>
      <w:ind w:firstLine="420"/>
    </w:pPr>
    <w:rPr>
      <w:rFonts w:hAnsi="Calibri"/>
      <w:kern w:val="0"/>
      <w:szCs w:val="20"/>
    </w:rPr>
  </w:style>
  <w:style w:type="paragraph" w:customStyle="1" w:styleId="361">
    <w:name w:val="TOC Heading13"/>
    <w:next w:val="1"/>
    <w:autoRedefine/>
    <w:qFormat/>
    <w:uiPriority w:val="0"/>
    <w:pPr>
      <w:wordWrap w:val="0"/>
    </w:pPr>
    <w:rPr>
      <w:rFonts w:ascii="Calibri" w:hAnsi="Calibri" w:eastAsia="宋体" w:cs="Times New Roman"/>
      <w:sz w:val="32"/>
      <w:lang w:val="en-US" w:eastAsia="zh-CN" w:bidi="ar-SA"/>
    </w:rPr>
  </w:style>
  <w:style w:type="paragraph" w:customStyle="1" w:styleId="362">
    <w:name w:val="toc 116"/>
    <w:next w:val="1"/>
    <w:autoRedefine/>
    <w:qFormat/>
    <w:uiPriority w:val="0"/>
    <w:pPr>
      <w:wordWrap w:val="0"/>
      <w:jc w:val="both"/>
    </w:pPr>
    <w:rPr>
      <w:rFonts w:ascii="Calibri" w:hAnsi="Calibri" w:eastAsia="宋体" w:cs="Times New Roman"/>
      <w:sz w:val="21"/>
      <w:lang w:val="en-US" w:eastAsia="zh-CN" w:bidi="ar-SA"/>
    </w:rPr>
  </w:style>
  <w:style w:type="paragraph" w:customStyle="1" w:styleId="363">
    <w:name w:val="toc 72"/>
    <w:next w:val="1"/>
    <w:autoRedefine/>
    <w:qFormat/>
    <w:uiPriority w:val="0"/>
    <w:pPr>
      <w:wordWrap w:val="0"/>
      <w:ind w:left="2550"/>
      <w:jc w:val="both"/>
    </w:pPr>
    <w:rPr>
      <w:rFonts w:ascii="Calibri" w:hAnsi="Calibri" w:eastAsia="宋体" w:cs="Times New Roman"/>
      <w:sz w:val="21"/>
      <w:lang w:val="en-US" w:eastAsia="zh-CN" w:bidi="ar-SA"/>
    </w:rPr>
  </w:style>
  <w:style w:type="paragraph" w:customStyle="1" w:styleId="364">
    <w:name w:val="x_msonormal"/>
    <w:basedOn w:val="1"/>
    <w:next w:val="314"/>
    <w:autoRedefine/>
    <w:qFormat/>
    <w:uiPriority w:val="0"/>
    <w:pPr>
      <w:widowControl/>
      <w:spacing w:before="280" w:after="280"/>
    </w:pPr>
    <w:rPr>
      <w:rFonts w:ascii="PMingLiU" w:hAnsi="Calibri" w:eastAsia="PMingLiU"/>
      <w:kern w:val="0"/>
      <w:sz w:val="24"/>
      <w:szCs w:val="20"/>
    </w:rPr>
  </w:style>
  <w:style w:type="paragraph" w:customStyle="1" w:styleId="365">
    <w:name w:val="toc 310"/>
    <w:next w:val="1"/>
    <w:autoRedefine/>
    <w:qFormat/>
    <w:uiPriority w:val="0"/>
    <w:pPr>
      <w:wordWrap w:val="0"/>
      <w:ind w:left="850"/>
      <w:jc w:val="both"/>
    </w:pPr>
    <w:rPr>
      <w:rFonts w:ascii="Calibri" w:hAnsi="Calibri" w:eastAsia="宋体" w:cs="Times New Roman"/>
      <w:sz w:val="21"/>
      <w:lang w:val="en-US" w:eastAsia="zh-CN" w:bidi="ar-SA"/>
    </w:rPr>
  </w:style>
  <w:style w:type="paragraph" w:customStyle="1" w:styleId="366">
    <w:name w:val="toc 83"/>
    <w:next w:val="1"/>
    <w:autoRedefine/>
    <w:qFormat/>
    <w:uiPriority w:val="0"/>
    <w:pPr>
      <w:wordWrap w:val="0"/>
      <w:ind w:left="2975"/>
      <w:jc w:val="both"/>
    </w:pPr>
    <w:rPr>
      <w:rFonts w:ascii="Calibri" w:hAnsi="Calibri" w:eastAsia="宋体" w:cs="Times New Roman"/>
      <w:sz w:val="21"/>
      <w:lang w:val="en-US" w:eastAsia="zh-CN" w:bidi="ar-SA"/>
    </w:rPr>
  </w:style>
  <w:style w:type="paragraph" w:customStyle="1" w:styleId="367">
    <w:name w:val="TOC Heading17"/>
    <w:next w:val="1"/>
    <w:autoRedefine/>
    <w:qFormat/>
    <w:uiPriority w:val="0"/>
    <w:pPr>
      <w:wordWrap w:val="0"/>
    </w:pPr>
    <w:rPr>
      <w:rFonts w:ascii="Calibri" w:hAnsi="Calibri" w:eastAsia="宋体" w:cs="Times New Roman"/>
      <w:sz w:val="32"/>
      <w:lang w:val="en-US" w:eastAsia="zh-CN" w:bidi="ar-SA"/>
    </w:rPr>
  </w:style>
  <w:style w:type="paragraph" w:customStyle="1" w:styleId="368">
    <w:name w:val="toc 911"/>
    <w:next w:val="1"/>
    <w:autoRedefine/>
    <w:qFormat/>
    <w:uiPriority w:val="0"/>
    <w:pPr>
      <w:wordWrap w:val="0"/>
      <w:ind w:left="3400"/>
      <w:jc w:val="both"/>
    </w:pPr>
    <w:rPr>
      <w:rFonts w:ascii="Calibri" w:hAnsi="Calibri" w:eastAsia="宋体" w:cs="Times New Roman"/>
      <w:sz w:val="21"/>
      <w:lang w:val="en-US" w:eastAsia="zh-CN" w:bidi="ar-SA"/>
    </w:rPr>
  </w:style>
  <w:style w:type="paragraph" w:customStyle="1" w:styleId="369">
    <w:name w:val="toc 811"/>
    <w:next w:val="1"/>
    <w:autoRedefine/>
    <w:qFormat/>
    <w:uiPriority w:val="0"/>
    <w:pPr>
      <w:wordWrap w:val="0"/>
      <w:ind w:left="2975"/>
      <w:jc w:val="both"/>
    </w:pPr>
    <w:rPr>
      <w:rFonts w:ascii="Calibri" w:hAnsi="Calibri" w:eastAsia="宋体" w:cs="Times New Roman"/>
      <w:sz w:val="21"/>
      <w:lang w:val="en-US" w:eastAsia="zh-CN" w:bidi="ar-SA"/>
    </w:rPr>
  </w:style>
  <w:style w:type="paragraph" w:customStyle="1" w:styleId="370">
    <w:name w:val="目录 31"/>
    <w:next w:val="1"/>
    <w:autoRedefine/>
    <w:qFormat/>
    <w:uiPriority w:val="0"/>
    <w:pPr>
      <w:wordWrap w:val="0"/>
      <w:ind w:left="850"/>
      <w:jc w:val="both"/>
    </w:pPr>
    <w:rPr>
      <w:rFonts w:ascii="Calibri" w:hAnsi="Calibri" w:eastAsia="宋体" w:cs="Times New Roman"/>
      <w:sz w:val="21"/>
      <w:lang w:val="en-US" w:eastAsia="zh-CN" w:bidi="ar-SA"/>
    </w:rPr>
  </w:style>
  <w:style w:type="paragraph" w:customStyle="1" w:styleId="371">
    <w:name w:val="xl118"/>
    <w:basedOn w:val="1"/>
    <w:next w:val="245"/>
    <w:autoRedefine/>
    <w:qFormat/>
    <w:uiPriority w:val="0"/>
    <w:pPr>
      <w:widowControl/>
      <w:shd w:val="clear" w:color="000000" w:fill="FFFFFF"/>
      <w:spacing w:before="280" w:after="280"/>
      <w:jc w:val="center"/>
    </w:pPr>
    <w:rPr>
      <w:rFonts w:ascii="宋体" w:hAnsi="Calibri"/>
      <w:b/>
      <w:kern w:val="0"/>
      <w:sz w:val="20"/>
      <w:szCs w:val="20"/>
    </w:rPr>
  </w:style>
  <w:style w:type="paragraph" w:customStyle="1" w:styleId="372">
    <w:name w:val="xl83"/>
    <w:basedOn w:val="1"/>
    <w:next w:val="300"/>
    <w:autoRedefine/>
    <w:qFormat/>
    <w:uiPriority w:val="0"/>
    <w:pPr>
      <w:widowControl/>
      <w:shd w:val="clear" w:color="000000" w:fill="FFFFFF"/>
      <w:spacing w:before="280" w:after="280"/>
    </w:pPr>
    <w:rPr>
      <w:rFonts w:ascii="宋体" w:hAnsi="Calibri"/>
      <w:kern w:val="0"/>
      <w:sz w:val="20"/>
      <w:szCs w:val="20"/>
    </w:rPr>
  </w:style>
  <w:style w:type="paragraph" w:customStyle="1" w:styleId="373">
    <w:name w:val="xl103"/>
    <w:basedOn w:val="1"/>
    <w:next w:val="374"/>
    <w:autoRedefine/>
    <w:qFormat/>
    <w:uiPriority w:val="0"/>
    <w:pPr>
      <w:widowControl/>
      <w:shd w:val="clear" w:color="000000" w:fill="FFFFFF"/>
      <w:spacing w:before="280" w:after="280"/>
    </w:pPr>
    <w:rPr>
      <w:rFonts w:ascii="宋体" w:hAnsi="Calibri"/>
      <w:kern w:val="0"/>
      <w:sz w:val="20"/>
      <w:szCs w:val="20"/>
    </w:rPr>
  </w:style>
  <w:style w:type="paragraph" w:customStyle="1" w:styleId="374">
    <w:name w:val="toc 111"/>
    <w:next w:val="1"/>
    <w:autoRedefine/>
    <w:qFormat/>
    <w:uiPriority w:val="0"/>
    <w:pPr>
      <w:wordWrap w:val="0"/>
      <w:jc w:val="both"/>
    </w:pPr>
    <w:rPr>
      <w:rFonts w:ascii="Calibri" w:hAnsi="Calibri" w:eastAsia="宋体" w:cs="Times New Roman"/>
      <w:sz w:val="21"/>
      <w:lang w:val="en-US" w:eastAsia="zh-CN" w:bidi="ar-SA"/>
    </w:rPr>
  </w:style>
  <w:style w:type="paragraph" w:customStyle="1" w:styleId="375">
    <w:name w:val="xl68"/>
    <w:basedOn w:val="1"/>
    <w:next w:val="376"/>
    <w:autoRedefine/>
    <w:qFormat/>
    <w:uiPriority w:val="0"/>
    <w:pPr>
      <w:widowControl/>
      <w:shd w:val="clear" w:color="000000" w:fill="FFFFFF"/>
      <w:spacing w:before="280" w:after="280"/>
    </w:pPr>
    <w:rPr>
      <w:rFonts w:ascii="宋体" w:hAnsi="Calibri"/>
      <w:b/>
      <w:kern w:val="0"/>
      <w:sz w:val="20"/>
      <w:szCs w:val="20"/>
    </w:rPr>
  </w:style>
  <w:style w:type="paragraph" w:customStyle="1" w:styleId="376">
    <w:name w:val="TOC Heading16"/>
    <w:next w:val="1"/>
    <w:autoRedefine/>
    <w:qFormat/>
    <w:uiPriority w:val="0"/>
    <w:pPr>
      <w:wordWrap w:val="0"/>
    </w:pPr>
    <w:rPr>
      <w:rFonts w:ascii="Calibri" w:hAnsi="Calibri" w:eastAsia="宋体" w:cs="Times New Roman"/>
      <w:sz w:val="32"/>
      <w:lang w:val="en-US" w:eastAsia="zh-CN" w:bidi="ar-SA"/>
    </w:rPr>
  </w:style>
  <w:style w:type="paragraph" w:customStyle="1" w:styleId="377">
    <w:name w:val="toc 113"/>
    <w:next w:val="1"/>
    <w:autoRedefine/>
    <w:qFormat/>
    <w:uiPriority w:val="0"/>
    <w:pPr>
      <w:wordWrap w:val="0"/>
      <w:jc w:val="both"/>
    </w:pPr>
    <w:rPr>
      <w:rFonts w:ascii="Calibri" w:hAnsi="Calibri" w:eastAsia="宋体" w:cs="Times New Roman"/>
      <w:sz w:val="21"/>
      <w:lang w:val="en-US" w:eastAsia="zh-CN" w:bidi="ar-SA"/>
    </w:rPr>
  </w:style>
  <w:style w:type="paragraph" w:customStyle="1" w:styleId="378">
    <w:name w:val="xl94"/>
    <w:basedOn w:val="1"/>
    <w:next w:val="269"/>
    <w:autoRedefine/>
    <w:qFormat/>
    <w:uiPriority w:val="0"/>
    <w:pPr>
      <w:widowControl/>
      <w:shd w:val="clear" w:color="000000" w:fill="FFFFFF"/>
      <w:spacing w:before="280" w:after="280"/>
      <w:jc w:val="center"/>
    </w:pPr>
    <w:rPr>
      <w:rFonts w:ascii="宋体" w:hAnsi="Calibri"/>
      <w:kern w:val="0"/>
      <w:sz w:val="20"/>
      <w:szCs w:val="20"/>
    </w:rPr>
  </w:style>
  <w:style w:type="paragraph" w:customStyle="1" w:styleId="379">
    <w:name w:val="toc 53"/>
    <w:next w:val="1"/>
    <w:autoRedefine/>
    <w:qFormat/>
    <w:uiPriority w:val="0"/>
    <w:pPr>
      <w:wordWrap w:val="0"/>
      <w:ind w:left="1700"/>
      <w:jc w:val="both"/>
    </w:pPr>
    <w:rPr>
      <w:rFonts w:ascii="Calibri" w:hAnsi="Calibri" w:eastAsia="宋体" w:cs="Times New Roman"/>
      <w:sz w:val="21"/>
      <w:lang w:val="en-US" w:eastAsia="zh-CN" w:bidi="ar-SA"/>
    </w:rPr>
  </w:style>
  <w:style w:type="paragraph" w:customStyle="1" w:styleId="380">
    <w:name w:val="xl92"/>
    <w:basedOn w:val="1"/>
    <w:next w:val="381"/>
    <w:autoRedefine/>
    <w:qFormat/>
    <w:uiPriority w:val="0"/>
    <w:pPr>
      <w:widowControl/>
      <w:shd w:val="clear" w:color="000000" w:fill="FFFFFF"/>
      <w:spacing w:before="280" w:after="280"/>
    </w:pPr>
    <w:rPr>
      <w:rFonts w:ascii="宋体" w:hAnsi="Calibri"/>
      <w:kern w:val="0"/>
      <w:sz w:val="20"/>
      <w:szCs w:val="20"/>
    </w:rPr>
  </w:style>
  <w:style w:type="paragraph" w:customStyle="1" w:styleId="381">
    <w:name w:val="toc 913"/>
    <w:next w:val="1"/>
    <w:autoRedefine/>
    <w:qFormat/>
    <w:uiPriority w:val="0"/>
    <w:pPr>
      <w:wordWrap w:val="0"/>
      <w:ind w:left="3400"/>
      <w:jc w:val="both"/>
    </w:pPr>
    <w:rPr>
      <w:rFonts w:ascii="Calibri" w:hAnsi="Calibri" w:eastAsia="宋体" w:cs="Times New Roman"/>
      <w:sz w:val="21"/>
      <w:lang w:val="en-US" w:eastAsia="zh-CN" w:bidi="ar-SA"/>
    </w:rPr>
  </w:style>
  <w:style w:type="paragraph" w:customStyle="1" w:styleId="382">
    <w:name w:val="toc 512"/>
    <w:next w:val="1"/>
    <w:autoRedefine/>
    <w:qFormat/>
    <w:uiPriority w:val="0"/>
    <w:pPr>
      <w:wordWrap w:val="0"/>
      <w:ind w:left="1700"/>
      <w:jc w:val="both"/>
    </w:pPr>
    <w:rPr>
      <w:rFonts w:ascii="Calibri" w:hAnsi="Calibri" w:eastAsia="宋体" w:cs="Times New Roman"/>
      <w:sz w:val="21"/>
      <w:lang w:val="en-US" w:eastAsia="zh-CN" w:bidi="ar-SA"/>
    </w:rPr>
  </w:style>
  <w:style w:type="paragraph" w:customStyle="1" w:styleId="383">
    <w:name w:val="目录 81"/>
    <w:next w:val="1"/>
    <w:autoRedefine/>
    <w:qFormat/>
    <w:uiPriority w:val="0"/>
    <w:pPr>
      <w:wordWrap w:val="0"/>
      <w:ind w:left="2975"/>
      <w:jc w:val="both"/>
    </w:pPr>
    <w:rPr>
      <w:rFonts w:ascii="Calibri" w:hAnsi="Calibri" w:eastAsia="宋体" w:cs="Times New Roman"/>
      <w:sz w:val="21"/>
      <w:lang w:val="en-US" w:eastAsia="zh-CN" w:bidi="ar-SA"/>
    </w:rPr>
  </w:style>
  <w:style w:type="paragraph" w:customStyle="1" w:styleId="384">
    <w:name w:val="正文表标题"/>
    <w:next w:val="1"/>
    <w:autoRedefine/>
    <w:qFormat/>
    <w:uiPriority w:val="0"/>
    <w:pPr>
      <w:ind w:left="630"/>
      <w:jc w:val="center"/>
    </w:pPr>
    <w:rPr>
      <w:rFonts w:ascii="黑体" w:hAnsi="Calibri" w:eastAsia="黑体" w:cs="Times New Roman"/>
      <w:sz w:val="21"/>
      <w:lang w:val="en-US" w:eastAsia="zh-CN" w:bidi="ar-SA"/>
    </w:rPr>
  </w:style>
  <w:style w:type="paragraph" w:customStyle="1" w:styleId="385">
    <w:name w:val="toc 28"/>
    <w:next w:val="1"/>
    <w:autoRedefine/>
    <w:qFormat/>
    <w:uiPriority w:val="0"/>
    <w:pPr>
      <w:wordWrap w:val="0"/>
      <w:ind w:left="425"/>
      <w:jc w:val="both"/>
    </w:pPr>
    <w:rPr>
      <w:rFonts w:ascii="Calibri" w:hAnsi="Calibri" w:eastAsia="宋体" w:cs="Times New Roman"/>
      <w:sz w:val="21"/>
      <w:lang w:val="en-US" w:eastAsia="zh-CN" w:bidi="ar-SA"/>
    </w:rPr>
  </w:style>
  <w:style w:type="paragraph" w:customStyle="1" w:styleId="386">
    <w:name w:val="toc 79"/>
    <w:next w:val="1"/>
    <w:autoRedefine/>
    <w:qFormat/>
    <w:uiPriority w:val="0"/>
    <w:pPr>
      <w:wordWrap w:val="0"/>
      <w:ind w:left="2550"/>
      <w:jc w:val="both"/>
    </w:pPr>
    <w:rPr>
      <w:rFonts w:ascii="Calibri" w:hAnsi="Calibri" w:eastAsia="宋体" w:cs="Times New Roman"/>
      <w:sz w:val="21"/>
      <w:lang w:val="en-US" w:eastAsia="zh-CN" w:bidi="ar-SA"/>
    </w:rPr>
  </w:style>
  <w:style w:type="paragraph" w:customStyle="1" w:styleId="387">
    <w:name w:val="xl110"/>
    <w:basedOn w:val="1"/>
    <w:next w:val="343"/>
    <w:autoRedefine/>
    <w:qFormat/>
    <w:uiPriority w:val="0"/>
    <w:pPr>
      <w:widowControl/>
      <w:shd w:val="clear" w:color="000000" w:fill="FFFFFF"/>
      <w:spacing w:before="280" w:after="280"/>
      <w:jc w:val="center"/>
    </w:pPr>
    <w:rPr>
      <w:rFonts w:ascii="宋体" w:hAnsi="Calibri"/>
      <w:kern w:val="0"/>
      <w:sz w:val="20"/>
      <w:szCs w:val="20"/>
    </w:rPr>
  </w:style>
  <w:style w:type="paragraph" w:customStyle="1" w:styleId="388">
    <w:name w:val="toc 511"/>
    <w:next w:val="1"/>
    <w:autoRedefine/>
    <w:qFormat/>
    <w:uiPriority w:val="0"/>
    <w:pPr>
      <w:wordWrap w:val="0"/>
      <w:ind w:left="1700"/>
      <w:jc w:val="both"/>
    </w:pPr>
    <w:rPr>
      <w:rFonts w:ascii="Calibri" w:hAnsi="Calibri" w:eastAsia="宋体" w:cs="Times New Roman"/>
      <w:sz w:val="21"/>
      <w:lang w:val="en-US" w:eastAsia="zh-CN" w:bidi="ar-SA"/>
    </w:rPr>
  </w:style>
  <w:style w:type="paragraph" w:customStyle="1" w:styleId="389">
    <w:name w:val="toc 416"/>
    <w:next w:val="1"/>
    <w:autoRedefine/>
    <w:qFormat/>
    <w:uiPriority w:val="0"/>
    <w:pPr>
      <w:wordWrap w:val="0"/>
      <w:ind w:left="1275"/>
      <w:jc w:val="both"/>
    </w:pPr>
    <w:rPr>
      <w:rFonts w:ascii="Calibri" w:hAnsi="Calibri" w:eastAsia="宋体" w:cs="Times New Roman"/>
      <w:sz w:val="21"/>
      <w:lang w:val="en-US" w:eastAsia="zh-CN" w:bidi="ar-SA"/>
    </w:rPr>
  </w:style>
  <w:style w:type="paragraph" w:customStyle="1" w:styleId="390">
    <w:name w:val="xl85"/>
    <w:basedOn w:val="1"/>
    <w:next w:val="391"/>
    <w:autoRedefine/>
    <w:qFormat/>
    <w:uiPriority w:val="0"/>
    <w:pPr>
      <w:widowControl/>
      <w:shd w:val="clear" w:color="000000" w:fill="FFFFFF"/>
      <w:spacing w:before="280" w:after="280"/>
      <w:jc w:val="center"/>
    </w:pPr>
    <w:rPr>
      <w:rFonts w:ascii="宋体" w:hAnsi="Calibri"/>
      <w:kern w:val="0"/>
      <w:sz w:val="20"/>
      <w:szCs w:val="20"/>
    </w:rPr>
  </w:style>
  <w:style w:type="paragraph" w:customStyle="1" w:styleId="391">
    <w:name w:val="toc 76"/>
    <w:next w:val="1"/>
    <w:autoRedefine/>
    <w:qFormat/>
    <w:uiPriority w:val="0"/>
    <w:pPr>
      <w:wordWrap w:val="0"/>
      <w:ind w:left="2550"/>
      <w:jc w:val="both"/>
    </w:pPr>
    <w:rPr>
      <w:rFonts w:ascii="Calibri" w:hAnsi="Calibri" w:eastAsia="宋体" w:cs="Times New Roman"/>
      <w:sz w:val="21"/>
      <w:lang w:val="en-US" w:eastAsia="zh-CN" w:bidi="ar-SA"/>
    </w:rPr>
  </w:style>
  <w:style w:type="paragraph" w:customStyle="1" w:styleId="392">
    <w:name w:val="toc 27"/>
    <w:next w:val="1"/>
    <w:autoRedefine/>
    <w:qFormat/>
    <w:uiPriority w:val="0"/>
    <w:pPr>
      <w:wordWrap w:val="0"/>
      <w:ind w:left="425"/>
      <w:jc w:val="both"/>
    </w:pPr>
    <w:rPr>
      <w:rFonts w:ascii="Calibri" w:hAnsi="Calibri" w:eastAsia="宋体" w:cs="Times New Roman"/>
      <w:sz w:val="21"/>
      <w:lang w:val="en-US" w:eastAsia="zh-CN" w:bidi="ar-SA"/>
    </w:rPr>
  </w:style>
  <w:style w:type="paragraph" w:customStyle="1" w:styleId="393">
    <w:name w:val="toc 916"/>
    <w:next w:val="1"/>
    <w:autoRedefine/>
    <w:qFormat/>
    <w:uiPriority w:val="0"/>
    <w:pPr>
      <w:wordWrap w:val="0"/>
      <w:ind w:left="3400"/>
      <w:jc w:val="both"/>
    </w:pPr>
    <w:rPr>
      <w:rFonts w:ascii="Calibri" w:hAnsi="Calibri" w:eastAsia="宋体" w:cs="Times New Roman"/>
      <w:sz w:val="21"/>
      <w:lang w:val="en-US" w:eastAsia="zh-CN" w:bidi="ar-SA"/>
    </w:rPr>
  </w:style>
  <w:style w:type="paragraph" w:customStyle="1" w:styleId="394">
    <w:name w:val="toc 77"/>
    <w:next w:val="1"/>
    <w:autoRedefine/>
    <w:qFormat/>
    <w:uiPriority w:val="0"/>
    <w:pPr>
      <w:wordWrap w:val="0"/>
      <w:ind w:left="2550"/>
      <w:jc w:val="both"/>
    </w:pPr>
    <w:rPr>
      <w:rFonts w:ascii="Calibri" w:hAnsi="Calibri" w:eastAsia="宋体" w:cs="Times New Roman"/>
      <w:sz w:val="21"/>
      <w:lang w:val="en-US" w:eastAsia="zh-CN" w:bidi="ar-SA"/>
    </w:rPr>
  </w:style>
  <w:style w:type="paragraph" w:customStyle="1" w:styleId="395">
    <w:name w:val="toc 211"/>
    <w:next w:val="1"/>
    <w:autoRedefine/>
    <w:qFormat/>
    <w:uiPriority w:val="0"/>
    <w:pPr>
      <w:wordWrap w:val="0"/>
      <w:ind w:left="425"/>
      <w:jc w:val="both"/>
    </w:pPr>
    <w:rPr>
      <w:rFonts w:ascii="Calibri" w:hAnsi="Calibri" w:eastAsia="宋体" w:cs="Times New Roman"/>
      <w:sz w:val="21"/>
      <w:lang w:val="en-US" w:eastAsia="zh-CN" w:bidi="ar-SA"/>
    </w:rPr>
  </w:style>
  <w:style w:type="paragraph" w:customStyle="1" w:styleId="396">
    <w:name w:val="toc 815"/>
    <w:next w:val="1"/>
    <w:autoRedefine/>
    <w:qFormat/>
    <w:uiPriority w:val="0"/>
    <w:pPr>
      <w:wordWrap w:val="0"/>
      <w:ind w:left="2975"/>
      <w:jc w:val="both"/>
    </w:pPr>
    <w:rPr>
      <w:rFonts w:ascii="Calibri" w:hAnsi="Calibri" w:eastAsia="宋体" w:cs="Times New Roman"/>
      <w:sz w:val="21"/>
      <w:lang w:val="en-US" w:eastAsia="zh-CN" w:bidi="ar-SA"/>
    </w:rPr>
  </w:style>
  <w:style w:type="paragraph" w:customStyle="1" w:styleId="397">
    <w:name w:val="xl99"/>
    <w:basedOn w:val="1"/>
    <w:next w:val="382"/>
    <w:autoRedefine/>
    <w:qFormat/>
    <w:uiPriority w:val="0"/>
    <w:pPr>
      <w:widowControl/>
      <w:shd w:val="clear" w:color="000000" w:fill="FFFFFF"/>
      <w:spacing w:before="280" w:after="280"/>
    </w:pPr>
    <w:rPr>
      <w:rFonts w:ascii="宋体" w:hAnsi="Calibri"/>
      <w:kern w:val="0"/>
      <w:sz w:val="18"/>
      <w:szCs w:val="20"/>
    </w:rPr>
  </w:style>
  <w:style w:type="paragraph" w:customStyle="1" w:styleId="398">
    <w:name w:val="xl97"/>
    <w:basedOn w:val="1"/>
    <w:next w:val="270"/>
    <w:autoRedefine/>
    <w:qFormat/>
    <w:uiPriority w:val="0"/>
    <w:pPr>
      <w:widowControl/>
      <w:shd w:val="clear" w:color="000000" w:fill="FFFFFF"/>
      <w:spacing w:before="280" w:after="280"/>
      <w:jc w:val="center"/>
    </w:pPr>
    <w:rPr>
      <w:rFonts w:ascii="宋体" w:hAnsi="Calibri"/>
      <w:kern w:val="0"/>
      <w:sz w:val="20"/>
      <w:szCs w:val="20"/>
    </w:rPr>
  </w:style>
  <w:style w:type="paragraph" w:customStyle="1" w:styleId="399">
    <w:name w:val="toc 612"/>
    <w:next w:val="1"/>
    <w:autoRedefine/>
    <w:qFormat/>
    <w:uiPriority w:val="0"/>
    <w:pPr>
      <w:wordWrap w:val="0"/>
      <w:ind w:left="2125"/>
      <w:jc w:val="both"/>
    </w:pPr>
    <w:rPr>
      <w:rFonts w:ascii="Calibri" w:hAnsi="Calibri" w:eastAsia="宋体" w:cs="Times New Roman"/>
      <w:sz w:val="21"/>
      <w:lang w:val="en-US" w:eastAsia="zh-CN" w:bidi="ar-SA"/>
    </w:rPr>
  </w:style>
  <w:style w:type="paragraph" w:customStyle="1" w:styleId="400">
    <w:name w:val="toc 315"/>
    <w:next w:val="1"/>
    <w:autoRedefine/>
    <w:qFormat/>
    <w:uiPriority w:val="0"/>
    <w:pPr>
      <w:wordWrap w:val="0"/>
      <w:ind w:left="850"/>
      <w:jc w:val="both"/>
    </w:pPr>
    <w:rPr>
      <w:rFonts w:ascii="Calibri" w:hAnsi="Calibri" w:eastAsia="宋体" w:cs="Times New Roman"/>
      <w:sz w:val="21"/>
      <w:lang w:val="en-US" w:eastAsia="zh-CN" w:bidi="ar-SA"/>
    </w:rPr>
  </w:style>
  <w:style w:type="paragraph" w:customStyle="1" w:styleId="401">
    <w:name w:val="TOC Heading15"/>
    <w:next w:val="1"/>
    <w:autoRedefine/>
    <w:qFormat/>
    <w:uiPriority w:val="0"/>
    <w:pPr>
      <w:wordWrap w:val="0"/>
    </w:pPr>
    <w:rPr>
      <w:rFonts w:ascii="Calibri" w:hAnsi="Calibri" w:eastAsia="宋体" w:cs="Times New Roman"/>
      <w:sz w:val="32"/>
      <w:lang w:val="en-US" w:eastAsia="zh-CN" w:bidi="ar-SA"/>
    </w:rPr>
  </w:style>
  <w:style w:type="paragraph" w:customStyle="1" w:styleId="402">
    <w:name w:val="toc 915"/>
    <w:next w:val="1"/>
    <w:autoRedefine/>
    <w:qFormat/>
    <w:uiPriority w:val="0"/>
    <w:pPr>
      <w:wordWrap w:val="0"/>
      <w:ind w:left="3400"/>
      <w:jc w:val="both"/>
    </w:pPr>
    <w:rPr>
      <w:rFonts w:ascii="Calibri" w:hAnsi="Calibri" w:eastAsia="宋体" w:cs="Times New Roman"/>
      <w:sz w:val="21"/>
      <w:lang w:val="en-US" w:eastAsia="zh-CN" w:bidi="ar-SA"/>
    </w:rPr>
  </w:style>
  <w:style w:type="paragraph" w:customStyle="1" w:styleId="403">
    <w:name w:val="toc 39"/>
    <w:next w:val="1"/>
    <w:autoRedefine/>
    <w:qFormat/>
    <w:uiPriority w:val="0"/>
    <w:pPr>
      <w:wordWrap w:val="0"/>
      <w:ind w:left="850"/>
      <w:jc w:val="both"/>
    </w:pPr>
    <w:rPr>
      <w:rFonts w:ascii="Calibri" w:hAnsi="Calibri" w:eastAsia="宋体" w:cs="Times New Roman"/>
      <w:sz w:val="21"/>
      <w:lang w:val="en-US" w:eastAsia="zh-CN" w:bidi="ar-SA"/>
    </w:rPr>
  </w:style>
  <w:style w:type="paragraph" w:customStyle="1" w:styleId="404">
    <w:name w:val="toc 710"/>
    <w:next w:val="1"/>
    <w:autoRedefine/>
    <w:qFormat/>
    <w:uiPriority w:val="0"/>
    <w:pPr>
      <w:wordWrap w:val="0"/>
      <w:ind w:left="2550"/>
      <w:jc w:val="both"/>
    </w:pPr>
    <w:rPr>
      <w:rFonts w:ascii="Calibri" w:hAnsi="Calibri" w:eastAsia="宋体" w:cs="Times New Roman"/>
      <w:sz w:val="21"/>
      <w:lang w:val="en-US" w:eastAsia="zh-CN" w:bidi="ar-SA"/>
    </w:rPr>
  </w:style>
  <w:style w:type="paragraph" w:customStyle="1" w:styleId="405">
    <w:name w:val="toc 12"/>
    <w:next w:val="1"/>
    <w:autoRedefine/>
    <w:qFormat/>
    <w:uiPriority w:val="0"/>
    <w:pPr>
      <w:wordWrap w:val="0"/>
      <w:jc w:val="both"/>
    </w:pPr>
    <w:rPr>
      <w:rFonts w:ascii="Calibri" w:hAnsi="Calibri" w:eastAsia="宋体" w:cs="Times New Roman"/>
      <w:sz w:val="21"/>
      <w:lang w:val="en-US" w:eastAsia="zh-CN" w:bidi="ar-SA"/>
    </w:rPr>
  </w:style>
  <w:style w:type="paragraph" w:customStyle="1" w:styleId="406">
    <w:name w:val="xl95"/>
    <w:basedOn w:val="1"/>
    <w:next w:val="407"/>
    <w:autoRedefine/>
    <w:qFormat/>
    <w:uiPriority w:val="0"/>
    <w:pPr>
      <w:widowControl/>
      <w:shd w:val="clear" w:color="000000" w:fill="FFFFFF"/>
      <w:spacing w:before="280" w:after="280"/>
    </w:pPr>
    <w:rPr>
      <w:rFonts w:ascii="宋体" w:hAnsi="Calibri"/>
      <w:kern w:val="0"/>
      <w:sz w:val="20"/>
      <w:szCs w:val="20"/>
    </w:rPr>
  </w:style>
  <w:style w:type="paragraph" w:customStyle="1" w:styleId="407">
    <w:name w:val="toc 415"/>
    <w:next w:val="1"/>
    <w:autoRedefine/>
    <w:qFormat/>
    <w:uiPriority w:val="0"/>
    <w:pPr>
      <w:wordWrap w:val="0"/>
      <w:ind w:left="1275"/>
      <w:jc w:val="both"/>
    </w:pPr>
    <w:rPr>
      <w:rFonts w:ascii="Calibri" w:hAnsi="Calibri" w:eastAsia="宋体" w:cs="Times New Roman"/>
      <w:sz w:val="21"/>
      <w:lang w:val="en-US" w:eastAsia="zh-CN" w:bidi="ar-SA"/>
    </w:rPr>
  </w:style>
  <w:style w:type="paragraph" w:customStyle="1" w:styleId="408">
    <w:name w:val="toc 29"/>
    <w:next w:val="1"/>
    <w:autoRedefine/>
    <w:qFormat/>
    <w:uiPriority w:val="0"/>
    <w:pPr>
      <w:wordWrap w:val="0"/>
      <w:ind w:left="425"/>
      <w:jc w:val="both"/>
    </w:pPr>
    <w:rPr>
      <w:rFonts w:ascii="Calibri" w:hAnsi="Calibri" w:eastAsia="宋体" w:cs="Times New Roman"/>
      <w:sz w:val="21"/>
      <w:lang w:val="en-US" w:eastAsia="zh-CN" w:bidi="ar-SA"/>
    </w:rPr>
  </w:style>
  <w:style w:type="paragraph" w:customStyle="1" w:styleId="409">
    <w:name w:val="xl67"/>
    <w:basedOn w:val="1"/>
    <w:next w:val="410"/>
    <w:autoRedefine/>
    <w:qFormat/>
    <w:uiPriority w:val="0"/>
    <w:pPr>
      <w:widowControl/>
      <w:shd w:val="clear" w:color="000000" w:fill="FFFFFF"/>
      <w:spacing w:before="280" w:after="280"/>
      <w:jc w:val="center"/>
    </w:pPr>
    <w:rPr>
      <w:rFonts w:ascii="宋体" w:hAnsi="Calibri"/>
      <w:b/>
      <w:kern w:val="0"/>
      <w:sz w:val="20"/>
      <w:szCs w:val="20"/>
    </w:rPr>
  </w:style>
  <w:style w:type="paragraph" w:customStyle="1" w:styleId="410">
    <w:name w:val="toc 714"/>
    <w:next w:val="1"/>
    <w:autoRedefine/>
    <w:qFormat/>
    <w:uiPriority w:val="0"/>
    <w:pPr>
      <w:wordWrap w:val="0"/>
      <w:ind w:left="2550"/>
      <w:jc w:val="both"/>
    </w:pPr>
    <w:rPr>
      <w:rFonts w:ascii="Calibri" w:hAnsi="Calibri" w:eastAsia="宋体" w:cs="Times New Roman"/>
      <w:sz w:val="21"/>
      <w:lang w:val="en-US" w:eastAsia="zh-CN" w:bidi="ar-SA"/>
    </w:rPr>
  </w:style>
  <w:style w:type="paragraph" w:customStyle="1" w:styleId="411">
    <w:name w:val="toc 21"/>
    <w:next w:val="1"/>
    <w:autoRedefine/>
    <w:qFormat/>
    <w:uiPriority w:val="0"/>
    <w:pPr>
      <w:wordWrap w:val="0"/>
      <w:ind w:left="425"/>
      <w:jc w:val="both"/>
    </w:pPr>
    <w:rPr>
      <w:rFonts w:ascii="Calibri" w:hAnsi="Calibri" w:eastAsia="宋体" w:cs="Times New Roman"/>
      <w:sz w:val="21"/>
      <w:lang w:val="en-US" w:eastAsia="zh-CN" w:bidi="ar-SA"/>
    </w:rPr>
  </w:style>
  <w:style w:type="paragraph" w:customStyle="1" w:styleId="412">
    <w:name w:val="正文 A"/>
    <w:next w:val="329"/>
    <w:autoRedefine/>
    <w:qFormat/>
    <w:uiPriority w:val="0"/>
    <w:rPr>
      <w:rFonts w:ascii="Arial" w:hAnsi="Calibri" w:eastAsia="Arial Unicode MS" w:cs="Times New Roman"/>
      <w:color w:val="000000"/>
      <w:sz w:val="21"/>
      <w:lang w:val="en-US" w:eastAsia="zh-CN" w:bidi="ar-SA"/>
    </w:rPr>
  </w:style>
  <w:style w:type="paragraph" w:customStyle="1" w:styleId="413">
    <w:name w:val="toc 68"/>
    <w:next w:val="1"/>
    <w:autoRedefine/>
    <w:qFormat/>
    <w:uiPriority w:val="0"/>
    <w:pPr>
      <w:wordWrap w:val="0"/>
      <w:ind w:left="2125"/>
      <w:jc w:val="both"/>
    </w:pPr>
    <w:rPr>
      <w:rFonts w:ascii="Calibri" w:hAnsi="Calibri" w:eastAsia="宋体" w:cs="Times New Roman"/>
      <w:sz w:val="21"/>
      <w:lang w:val="en-US" w:eastAsia="zh-CN" w:bidi="ar-SA"/>
    </w:rPr>
  </w:style>
  <w:style w:type="paragraph" w:customStyle="1" w:styleId="414">
    <w:name w:val="toc 58"/>
    <w:next w:val="1"/>
    <w:autoRedefine/>
    <w:qFormat/>
    <w:uiPriority w:val="0"/>
    <w:pPr>
      <w:wordWrap w:val="0"/>
      <w:ind w:left="1700"/>
      <w:jc w:val="both"/>
    </w:pPr>
    <w:rPr>
      <w:rFonts w:ascii="Calibri" w:hAnsi="Calibri" w:eastAsia="宋体" w:cs="Times New Roman"/>
      <w:sz w:val="21"/>
      <w:lang w:val="en-US" w:eastAsia="zh-CN" w:bidi="ar-SA"/>
    </w:rPr>
  </w:style>
  <w:style w:type="paragraph" w:customStyle="1" w:styleId="415">
    <w:name w:val="xl88"/>
    <w:basedOn w:val="1"/>
    <w:next w:val="401"/>
    <w:autoRedefine/>
    <w:qFormat/>
    <w:uiPriority w:val="0"/>
    <w:pPr>
      <w:widowControl/>
      <w:shd w:val="clear" w:color="000000" w:fill="FFFFFF"/>
      <w:spacing w:before="280" w:after="280"/>
      <w:jc w:val="center"/>
    </w:pPr>
    <w:rPr>
      <w:rFonts w:ascii="宋体" w:hAnsi="Calibri"/>
      <w:kern w:val="0"/>
      <w:sz w:val="20"/>
      <w:szCs w:val="20"/>
    </w:rPr>
  </w:style>
  <w:style w:type="paragraph" w:customStyle="1" w:styleId="416">
    <w:name w:val="toc 71"/>
    <w:next w:val="1"/>
    <w:autoRedefine/>
    <w:qFormat/>
    <w:uiPriority w:val="0"/>
    <w:pPr>
      <w:wordWrap w:val="0"/>
      <w:ind w:left="2550"/>
      <w:jc w:val="both"/>
    </w:pPr>
    <w:rPr>
      <w:rFonts w:ascii="Calibri" w:hAnsi="Calibri" w:eastAsia="宋体" w:cs="Times New Roman"/>
      <w:sz w:val="21"/>
      <w:lang w:val="en-US" w:eastAsia="zh-CN" w:bidi="ar-SA"/>
    </w:rPr>
  </w:style>
  <w:style w:type="paragraph" w:customStyle="1" w:styleId="417">
    <w:name w:val="xl100"/>
    <w:basedOn w:val="1"/>
    <w:next w:val="418"/>
    <w:autoRedefine/>
    <w:qFormat/>
    <w:uiPriority w:val="0"/>
    <w:pPr>
      <w:widowControl/>
      <w:shd w:val="clear" w:color="000000" w:fill="FFFFFF"/>
      <w:spacing w:before="280" w:after="280"/>
    </w:pPr>
    <w:rPr>
      <w:rFonts w:ascii="宋体" w:hAnsi="Calibri"/>
      <w:kern w:val="0"/>
      <w:sz w:val="20"/>
      <w:szCs w:val="20"/>
    </w:rPr>
  </w:style>
  <w:style w:type="paragraph" w:customStyle="1" w:styleId="418">
    <w:name w:val="toc 510"/>
    <w:next w:val="1"/>
    <w:autoRedefine/>
    <w:qFormat/>
    <w:uiPriority w:val="0"/>
    <w:pPr>
      <w:wordWrap w:val="0"/>
      <w:ind w:left="1700"/>
      <w:jc w:val="both"/>
    </w:pPr>
    <w:rPr>
      <w:rFonts w:ascii="Calibri" w:hAnsi="Calibri" w:eastAsia="宋体" w:cs="Times New Roman"/>
      <w:sz w:val="21"/>
      <w:lang w:val="en-US" w:eastAsia="zh-CN" w:bidi="ar-SA"/>
    </w:rPr>
  </w:style>
  <w:style w:type="paragraph" w:customStyle="1" w:styleId="419">
    <w:name w:val="toc 314"/>
    <w:next w:val="1"/>
    <w:autoRedefine/>
    <w:qFormat/>
    <w:uiPriority w:val="0"/>
    <w:pPr>
      <w:wordWrap w:val="0"/>
      <w:ind w:left="850"/>
      <w:jc w:val="both"/>
    </w:pPr>
    <w:rPr>
      <w:rFonts w:ascii="Calibri" w:hAnsi="Calibri" w:eastAsia="宋体" w:cs="Times New Roman"/>
      <w:sz w:val="21"/>
      <w:lang w:val="en-US" w:eastAsia="zh-CN" w:bidi="ar-SA"/>
    </w:rPr>
  </w:style>
  <w:style w:type="paragraph" w:customStyle="1" w:styleId="420">
    <w:name w:val="xl114"/>
    <w:basedOn w:val="1"/>
    <w:next w:val="272"/>
    <w:autoRedefine/>
    <w:qFormat/>
    <w:uiPriority w:val="0"/>
    <w:pPr>
      <w:widowControl/>
      <w:shd w:val="clear" w:color="000000" w:fill="FFFFFF"/>
      <w:spacing w:before="280" w:after="280"/>
      <w:jc w:val="center"/>
    </w:pPr>
    <w:rPr>
      <w:rFonts w:ascii="宋体" w:hAnsi="Calibri"/>
      <w:b/>
      <w:kern w:val="0"/>
      <w:sz w:val="20"/>
      <w:szCs w:val="20"/>
    </w:rPr>
  </w:style>
  <w:style w:type="paragraph" w:customStyle="1" w:styleId="421">
    <w:name w:val="xl107"/>
    <w:basedOn w:val="1"/>
    <w:next w:val="422"/>
    <w:autoRedefine/>
    <w:qFormat/>
    <w:uiPriority w:val="0"/>
    <w:pPr>
      <w:widowControl/>
      <w:shd w:val="clear" w:color="000000" w:fill="FFFFFF"/>
      <w:spacing w:before="280" w:after="280"/>
    </w:pPr>
    <w:rPr>
      <w:rFonts w:ascii="宋体" w:hAnsi="Calibri"/>
      <w:kern w:val="0"/>
      <w:sz w:val="20"/>
      <w:szCs w:val="20"/>
    </w:rPr>
  </w:style>
  <w:style w:type="paragraph" w:customStyle="1" w:styleId="422">
    <w:name w:val="toc 610"/>
    <w:next w:val="1"/>
    <w:autoRedefine/>
    <w:qFormat/>
    <w:uiPriority w:val="0"/>
    <w:pPr>
      <w:wordWrap w:val="0"/>
      <w:ind w:left="2125"/>
      <w:jc w:val="both"/>
    </w:pPr>
    <w:rPr>
      <w:rFonts w:ascii="Calibri" w:hAnsi="Calibri" w:eastAsia="宋体" w:cs="Times New Roman"/>
      <w:sz w:val="21"/>
      <w:lang w:val="en-US" w:eastAsia="zh-CN" w:bidi="ar-SA"/>
    </w:rPr>
  </w:style>
  <w:style w:type="paragraph" w:customStyle="1" w:styleId="423">
    <w:name w:val="toc 22"/>
    <w:next w:val="1"/>
    <w:autoRedefine/>
    <w:qFormat/>
    <w:uiPriority w:val="0"/>
    <w:pPr>
      <w:wordWrap w:val="0"/>
      <w:ind w:left="425"/>
      <w:jc w:val="both"/>
    </w:pPr>
    <w:rPr>
      <w:rFonts w:ascii="Calibri" w:hAnsi="Calibri" w:eastAsia="宋体" w:cs="Times New Roman"/>
      <w:sz w:val="21"/>
      <w:lang w:val="en-US" w:eastAsia="zh-CN" w:bidi="ar-SA"/>
    </w:rPr>
  </w:style>
  <w:style w:type="paragraph" w:customStyle="1" w:styleId="424">
    <w:name w:val="xl90"/>
    <w:basedOn w:val="1"/>
    <w:next w:val="226"/>
    <w:autoRedefine/>
    <w:qFormat/>
    <w:uiPriority w:val="0"/>
    <w:pPr>
      <w:widowControl/>
      <w:shd w:val="clear" w:color="000000" w:fill="FFFFFF"/>
      <w:spacing w:before="280" w:after="280"/>
    </w:pPr>
    <w:rPr>
      <w:rFonts w:ascii="宋体" w:hAnsi="Calibri"/>
      <w:kern w:val="0"/>
      <w:sz w:val="18"/>
      <w:szCs w:val="20"/>
    </w:rPr>
  </w:style>
  <w:style w:type="paragraph" w:customStyle="1" w:styleId="425">
    <w:name w:val="toc 616"/>
    <w:next w:val="1"/>
    <w:autoRedefine/>
    <w:qFormat/>
    <w:uiPriority w:val="0"/>
    <w:pPr>
      <w:wordWrap w:val="0"/>
      <w:ind w:left="2125"/>
      <w:jc w:val="both"/>
    </w:pPr>
    <w:rPr>
      <w:rFonts w:ascii="Calibri" w:hAnsi="Calibri" w:eastAsia="宋体" w:cs="Times New Roman"/>
      <w:sz w:val="21"/>
      <w:lang w:val="en-US" w:eastAsia="zh-CN" w:bidi="ar-SA"/>
    </w:rPr>
  </w:style>
  <w:style w:type="paragraph" w:customStyle="1" w:styleId="426">
    <w:name w:val="toc 96"/>
    <w:next w:val="1"/>
    <w:autoRedefine/>
    <w:qFormat/>
    <w:uiPriority w:val="0"/>
    <w:pPr>
      <w:wordWrap w:val="0"/>
      <w:ind w:left="3400"/>
      <w:jc w:val="both"/>
    </w:pPr>
    <w:rPr>
      <w:rFonts w:ascii="Calibri" w:hAnsi="Calibri" w:eastAsia="宋体" w:cs="Times New Roman"/>
      <w:sz w:val="21"/>
      <w:lang w:val="en-US" w:eastAsia="zh-CN" w:bidi="ar-SA"/>
    </w:rPr>
  </w:style>
  <w:style w:type="paragraph" w:customStyle="1" w:styleId="427">
    <w:name w:val="toc 42"/>
    <w:next w:val="1"/>
    <w:autoRedefine/>
    <w:qFormat/>
    <w:uiPriority w:val="0"/>
    <w:pPr>
      <w:wordWrap w:val="0"/>
      <w:ind w:left="1275"/>
      <w:jc w:val="both"/>
    </w:pPr>
    <w:rPr>
      <w:rFonts w:ascii="Calibri" w:hAnsi="Calibri" w:eastAsia="宋体" w:cs="Times New Roman"/>
      <w:sz w:val="21"/>
      <w:lang w:val="en-US" w:eastAsia="zh-CN" w:bidi="ar-SA"/>
    </w:rPr>
  </w:style>
  <w:style w:type="paragraph" w:customStyle="1" w:styleId="428">
    <w:name w:val="xl117"/>
    <w:basedOn w:val="1"/>
    <w:next w:val="325"/>
    <w:autoRedefine/>
    <w:qFormat/>
    <w:uiPriority w:val="0"/>
    <w:pPr>
      <w:widowControl/>
      <w:shd w:val="clear" w:color="000000" w:fill="FFFFFF"/>
      <w:spacing w:before="280" w:after="280"/>
      <w:jc w:val="center"/>
    </w:pPr>
    <w:rPr>
      <w:rFonts w:ascii="Arial Narrow" w:hAnsi="Calibri"/>
      <w:kern w:val="0"/>
      <w:sz w:val="24"/>
      <w:szCs w:val="20"/>
    </w:rPr>
  </w:style>
  <w:style w:type="paragraph" w:customStyle="1" w:styleId="429">
    <w:name w:val="p15"/>
    <w:basedOn w:val="1"/>
    <w:next w:val="250"/>
    <w:autoRedefine/>
    <w:qFormat/>
    <w:uiPriority w:val="0"/>
    <w:pPr>
      <w:widowControl/>
      <w:ind w:firstLine="420"/>
    </w:pPr>
    <w:rPr>
      <w:rFonts w:hAnsi="Calibri"/>
      <w:kern w:val="0"/>
      <w:szCs w:val="20"/>
    </w:rPr>
  </w:style>
  <w:style w:type="paragraph" w:customStyle="1" w:styleId="430">
    <w:name w:val="xl87"/>
    <w:basedOn w:val="1"/>
    <w:next w:val="431"/>
    <w:autoRedefine/>
    <w:qFormat/>
    <w:uiPriority w:val="0"/>
    <w:pPr>
      <w:widowControl/>
      <w:shd w:val="clear" w:color="000000" w:fill="FFFFFF"/>
      <w:spacing w:before="280" w:after="280"/>
    </w:pPr>
    <w:rPr>
      <w:rFonts w:ascii="Arial" w:hAnsi="Calibri"/>
      <w:kern w:val="0"/>
      <w:sz w:val="18"/>
      <w:szCs w:val="20"/>
    </w:rPr>
  </w:style>
  <w:style w:type="paragraph" w:customStyle="1" w:styleId="431">
    <w:name w:val="toc 98"/>
    <w:next w:val="1"/>
    <w:autoRedefine/>
    <w:qFormat/>
    <w:uiPriority w:val="0"/>
    <w:pPr>
      <w:wordWrap w:val="0"/>
      <w:ind w:left="3400"/>
      <w:jc w:val="both"/>
    </w:pPr>
    <w:rPr>
      <w:rFonts w:ascii="Calibri" w:hAnsi="Calibri" w:eastAsia="宋体" w:cs="Times New Roman"/>
      <w:sz w:val="21"/>
      <w:lang w:val="en-US" w:eastAsia="zh-CN" w:bidi="ar-SA"/>
    </w:rPr>
  </w:style>
  <w:style w:type="paragraph" w:customStyle="1" w:styleId="432">
    <w:name w:val="列出段落7"/>
    <w:basedOn w:val="1"/>
    <w:next w:val="414"/>
    <w:autoRedefine/>
    <w:qFormat/>
    <w:uiPriority w:val="0"/>
    <w:pPr>
      <w:ind w:firstLine="420"/>
    </w:pPr>
    <w:rPr>
      <w:rFonts w:hAnsi="Calibri"/>
      <w:kern w:val="0"/>
      <w:szCs w:val="20"/>
    </w:rPr>
  </w:style>
  <w:style w:type="paragraph" w:customStyle="1" w:styleId="433">
    <w:name w:val="xl78"/>
    <w:basedOn w:val="1"/>
    <w:next w:val="404"/>
    <w:autoRedefine/>
    <w:qFormat/>
    <w:uiPriority w:val="0"/>
    <w:pPr>
      <w:widowControl/>
      <w:shd w:val="clear" w:color="000000" w:fill="FFFFFF"/>
      <w:spacing w:before="280" w:after="280"/>
    </w:pPr>
    <w:rPr>
      <w:rFonts w:ascii="宋体" w:hAnsi="Calibri"/>
      <w:b/>
      <w:kern w:val="0"/>
      <w:sz w:val="20"/>
      <w:szCs w:val="20"/>
    </w:rPr>
  </w:style>
  <w:style w:type="paragraph" w:customStyle="1" w:styleId="434">
    <w:name w:val="toc 516"/>
    <w:next w:val="1"/>
    <w:autoRedefine/>
    <w:qFormat/>
    <w:uiPriority w:val="0"/>
    <w:pPr>
      <w:wordWrap w:val="0"/>
      <w:ind w:left="1700"/>
      <w:jc w:val="both"/>
    </w:pPr>
    <w:rPr>
      <w:rFonts w:ascii="Calibri" w:hAnsi="Calibri" w:eastAsia="宋体" w:cs="Times New Roman"/>
      <w:sz w:val="21"/>
      <w:lang w:val="en-US" w:eastAsia="zh-CN" w:bidi="ar-SA"/>
    </w:rPr>
  </w:style>
  <w:style w:type="paragraph" w:customStyle="1" w:styleId="435">
    <w:name w:val="xl89"/>
    <w:basedOn w:val="1"/>
    <w:next w:val="369"/>
    <w:autoRedefine/>
    <w:qFormat/>
    <w:uiPriority w:val="0"/>
    <w:pPr>
      <w:widowControl/>
      <w:shd w:val="clear" w:color="000000" w:fill="FFFFFF"/>
      <w:spacing w:before="280" w:after="280"/>
    </w:pPr>
    <w:rPr>
      <w:rFonts w:ascii="宋体" w:hAnsi="Calibri"/>
      <w:kern w:val="0"/>
      <w:sz w:val="20"/>
      <w:szCs w:val="20"/>
    </w:rPr>
  </w:style>
  <w:style w:type="paragraph" w:customStyle="1" w:styleId="436">
    <w:name w:val="toc 910"/>
    <w:next w:val="1"/>
    <w:autoRedefine/>
    <w:qFormat/>
    <w:uiPriority w:val="0"/>
    <w:pPr>
      <w:wordWrap w:val="0"/>
      <w:ind w:left="3400"/>
      <w:jc w:val="both"/>
    </w:pPr>
    <w:rPr>
      <w:rFonts w:ascii="Calibri" w:hAnsi="Calibri" w:eastAsia="宋体" w:cs="Times New Roman"/>
      <w:sz w:val="21"/>
      <w:lang w:val="en-US" w:eastAsia="zh-CN" w:bidi="ar-SA"/>
    </w:rPr>
  </w:style>
  <w:style w:type="paragraph" w:customStyle="1" w:styleId="437">
    <w:name w:val="toc 34"/>
    <w:next w:val="1"/>
    <w:autoRedefine/>
    <w:qFormat/>
    <w:uiPriority w:val="0"/>
    <w:pPr>
      <w:wordWrap w:val="0"/>
      <w:ind w:left="850"/>
      <w:jc w:val="both"/>
    </w:pPr>
    <w:rPr>
      <w:rFonts w:ascii="Calibri" w:hAnsi="Calibri" w:eastAsia="宋体" w:cs="Times New Roman"/>
      <w:sz w:val="21"/>
      <w:lang w:val="en-US" w:eastAsia="zh-CN" w:bidi="ar-SA"/>
    </w:rPr>
  </w:style>
  <w:style w:type="paragraph" w:customStyle="1" w:styleId="438">
    <w:name w:val="toc 816"/>
    <w:next w:val="1"/>
    <w:autoRedefine/>
    <w:qFormat/>
    <w:uiPriority w:val="0"/>
    <w:pPr>
      <w:wordWrap w:val="0"/>
      <w:ind w:left="2975"/>
      <w:jc w:val="both"/>
    </w:pPr>
    <w:rPr>
      <w:rFonts w:ascii="Calibri" w:hAnsi="Calibri" w:eastAsia="宋体" w:cs="Times New Roman"/>
      <w:sz w:val="21"/>
      <w:lang w:val="en-US" w:eastAsia="zh-CN" w:bidi="ar-SA"/>
    </w:rPr>
  </w:style>
  <w:style w:type="paragraph" w:customStyle="1" w:styleId="439">
    <w:name w:val="toc 43"/>
    <w:next w:val="1"/>
    <w:autoRedefine/>
    <w:qFormat/>
    <w:uiPriority w:val="0"/>
    <w:pPr>
      <w:wordWrap w:val="0"/>
      <w:ind w:left="1275"/>
      <w:jc w:val="both"/>
    </w:pPr>
    <w:rPr>
      <w:rFonts w:ascii="Calibri" w:hAnsi="Calibri" w:eastAsia="宋体" w:cs="Times New Roman"/>
      <w:sz w:val="21"/>
      <w:lang w:val="en-US" w:eastAsia="zh-CN" w:bidi="ar-SA"/>
    </w:rPr>
  </w:style>
  <w:style w:type="paragraph" w:customStyle="1" w:styleId="440">
    <w:name w:val="toc 16"/>
    <w:next w:val="1"/>
    <w:autoRedefine/>
    <w:qFormat/>
    <w:uiPriority w:val="0"/>
    <w:pPr>
      <w:wordWrap w:val="0"/>
      <w:jc w:val="both"/>
    </w:pPr>
    <w:rPr>
      <w:rFonts w:ascii="Calibri" w:hAnsi="Calibri" w:eastAsia="宋体" w:cs="Times New Roman"/>
      <w:sz w:val="21"/>
      <w:lang w:val="en-US" w:eastAsia="zh-CN" w:bidi="ar-SA"/>
    </w:rPr>
  </w:style>
  <w:style w:type="paragraph" w:styleId="441">
    <w:name w:val="Quote"/>
    <w:next w:val="1"/>
    <w:link w:val="442"/>
    <w:autoRedefine/>
    <w:qFormat/>
    <w:uiPriority w:val="0"/>
    <w:pPr>
      <w:wordWrap w:val="0"/>
      <w:spacing w:before="200" w:after="160"/>
      <w:ind w:left="864" w:right="864"/>
      <w:jc w:val="center"/>
    </w:pPr>
    <w:rPr>
      <w:rFonts w:ascii="Calibri" w:hAnsi="Calibri" w:eastAsia="宋体" w:cs="Times New Roman"/>
      <w:i/>
      <w:sz w:val="21"/>
      <w:lang w:val="en-US" w:eastAsia="zh-CN" w:bidi="ar-SA"/>
    </w:rPr>
  </w:style>
  <w:style w:type="character" w:customStyle="1" w:styleId="442">
    <w:name w:val="引用 字符"/>
    <w:basedOn w:val="48"/>
    <w:link w:val="441"/>
    <w:autoRedefine/>
    <w:qFormat/>
    <w:uiPriority w:val="0"/>
    <w:rPr>
      <w:rFonts w:ascii="Calibri" w:hAnsi="Calibri"/>
      <w:i/>
      <w:sz w:val="21"/>
    </w:rPr>
  </w:style>
  <w:style w:type="paragraph" w:customStyle="1" w:styleId="443">
    <w:name w:val="toc 114"/>
    <w:next w:val="1"/>
    <w:autoRedefine/>
    <w:qFormat/>
    <w:uiPriority w:val="0"/>
    <w:pPr>
      <w:wordWrap w:val="0"/>
      <w:jc w:val="both"/>
    </w:pPr>
    <w:rPr>
      <w:rFonts w:ascii="Calibri" w:hAnsi="Calibri" w:eastAsia="宋体" w:cs="Times New Roman"/>
      <w:sz w:val="21"/>
      <w:lang w:val="en-US" w:eastAsia="zh-CN" w:bidi="ar-SA"/>
    </w:rPr>
  </w:style>
  <w:style w:type="paragraph" w:customStyle="1" w:styleId="444">
    <w:name w:val="xl119"/>
    <w:basedOn w:val="1"/>
    <w:next w:val="419"/>
    <w:autoRedefine/>
    <w:qFormat/>
    <w:uiPriority w:val="0"/>
    <w:pPr>
      <w:widowControl/>
      <w:shd w:val="clear" w:color="000000" w:fill="FFFFFF"/>
      <w:spacing w:before="280" w:after="280"/>
      <w:jc w:val="center"/>
    </w:pPr>
    <w:rPr>
      <w:rFonts w:ascii="宋体" w:hAnsi="Calibri"/>
      <w:b/>
      <w:kern w:val="0"/>
      <w:sz w:val="20"/>
      <w:szCs w:val="20"/>
    </w:rPr>
  </w:style>
  <w:style w:type="paragraph" w:customStyle="1" w:styleId="445">
    <w:name w:val="toc 37"/>
    <w:next w:val="1"/>
    <w:autoRedefine/>
    <w:qFormat/>
    <w:uiPriority w:val="0"/>
    <w:pPr>
      <w:wordWrap w:val="0"/>
      <w:ind w:left="850"/>
      <w:jc w:val="both"/>
    </w:pPr>
    <w:rPr>
      <w:rFonts w:ascii="Calibri" w:hAnsi="Calibri" w:eastAsia="宋体" w:cs="Times New Roman"/>
      <w:sz w:val="21"/>
      <w:lang w:val="en-US" w:eastAsia="zh-CN" w:bidi="ar-SA"/>
    </w:rPr>
  </w:style>
  <w:style w:type="paragraph" w:customStyle="1" w:styleId="446">
    <w:name w:val="xl109"/>
    <w:basedOn w:val="1"/>
    <w:next w:val="392"/>
    <w:autoRedefine/>
    <w:qFormat/>
    <w:uiPriority w:val="0"/>
    <w:pPr>
      <w:widowControl/>
      <w:shd w:val="clear" w:color="000000" w:fill="FFFFFF"/>
      <w:spacing w:before="280" w:after="280"/>
    </w:pPr>
    <w:rPr>
      <w:rFonts w:ascii="宋体" w:hAnsi="Calibri"/>
      <w:kern w:val="0"/>
      <w:sz w:val="20"/>
      <w:szCs w:val="20"/>
    </w:rPr>
  </w:style>
  <w:style w:type="paragraph" w:customStyle="1" w:styleId="447">
    <w:name w:val="toc 215"/>
    <w:next w:val="1"/>
    <w:autoRedefine/>
    <w:qFormat/>
    <w:uiPriority w:val="0"/>
    <w:pPr>
      <w:wordWrap w:val="0"/>
      <w:ind w:left="425"/>
      <w:jc w:val="both"/>
    </w:pPr>
    <w:rPr>
      <w:rFonts w:ascii="Calibri" w:hAnsi="Calibri" w:eastAsia="宋体" w:cs="Times New Roman"/>
      <w:sz w:val="21"/>
      <w:lang w:val="en-US" w:eastAsia="zh-CN" w:bidi="ar-SA"/>
    </w:rPr>
  </w:style>
  <w:style w:type="paragraph" w:customStyle="1" w:styleId="448">
    <w:name w:val="xl76"/>
    <w:basedOn w:val="1"/>
    <w:next w:val="400"/>
    <w:autoRedefine/>
    <w:qFormat/>
    <w:uiPriority w:val="0"/>
    <w:pPr>
      <w:widowControl/>
      <w:shd w:val="clear" w:color="000000" w:fill="FFFFFF"/>
      <w:spacing w:before="280" w:after="280"/>
      <w:jc w:val="center"/>
    </w:pPr>
    <w:rPr>
      <w:rFonts w:ascii="宋体" w:hAnsi="Calibri"/>
      <w:b/>
      <w:kern w:val="0"/>
      <w:sz w:val="20"/>
      <w:szCs w:val="20"/>
    </w:rPr>
  </w:style>
  <w:style w:type="paragraph" w:customStyle="1" w:styleId="449">
    <w:name w:val="toc 92"/>
    <w:next w:val="1"/>
    <w:autoRedefine/>
    <w:qFormat/>
    <w:uiPriority w:val="0"/>
    <w:pPr>
      <w:wordWrap w:val="0"/>
      <w:ind w:left="3400"/>
      <w:jc w:val="both"/>
    </w:pPr>
    <w:rPr>
      <w:rFonts w:ascii="Calibri" w:hAnsi="Calibri" w:eastAsia="宋体" w:cs="Times New Roman"/>
      <w:sz w:val="21"/>
      <w:lang w:val="en-US" w:eastAsia="zh-CN" w:bidi="ar-SA"/>
    </w:rPr>
  </w:style>
  <w:style w:type="paragraph" w:customStyle="1" w:styleId="450">
    <w:name w:val="toc 216"/>
    <w:next w:val="1"/>
    <w:autoRedefine/>
    <w:qFormat/>
    <w:uiPriority w:val="0"/>
    <w:pPr>
      <w:wordWrap w:val="0"/>
      <w:ind w:left="425"/>
      <w:jc w:val="both"/>
    </w:pPr>
    <w:rPr>
      <w:rFonts w:ascii="Calibri" w:hAnsi="Calibri" w:eastAsia="宋体" w:cs="Times New Roman"/>
      <w:sz w:val="21"/>
      <w:lang w:val="en-US" w:eastAsia="zh-CN" w:bidi="ar-SA"/>
    </w:rPr>
  </w:style>
  <w:style w:type="paragraph" w:customStyle="1" w:styleId="451">
    <w:name w:val="xl70"/>
    <w:basedOn w:val="1"/>
    <w:next w:val="377"/>
    <w:autoRedefine/>
    <w:qFormat/>
    <w:uiPriority w:val="0"/>
    <w:pPr>
      <w:widowControl/>
      <w:shd w:val="clear" w:color="000000" w:fill="FFFFFF"/>
      <w:spacing w:before="280" w:after="280"/>
    </w:pPr>
    <w:rPr>
      <w:rFonts w:ascii="宋体" w:hAnsi="Calibri"/>
      <w:kern w:val="0"/>
      <w:sz w:val="20"/>
      <w:szCs w:val="20"/>
    </w:rPr>
  </w:style>
  <w:style w:type="paragraph" w:customStyle="1" w:styleId="452">
    <w:name w:val="toc 33"/>
    <w:next w:val="1"/>
    <w:autoRedefine/>
    <w:qFormat/>
    <w:uiPriority w:val="0"/>
    <w:pPr>
      <w:wordWrap w:val="0"/>
      <w:ind w:left="850"/>
      <w:jc w:val="both"/>
    </w:pPr>
    <w:rPr>
      <w:rFonts w:ascii="Calibri" w:hAnsi="Calibri" w:eastAsia="宋体" w:cs="Times New Roman"/>
      <w:sz w:val="21"/>
      <w:lang w:val="en-US" w:eastAsia="zh-CN" w:bidi="ar-SA"/>
    </w:rPr>
  </w:style>
  <w:style w:type="paragraph" w:customStyle="1" w:styleId="453">
    <w:name w:val="toc 61"/>
    <w:next w:val="1"/>
    <w:autoRedefine/>
    <w:qFormat/>
    <w:uiPriority w:val="0"/>
    <w:pPr>
      <w:wordWrap w:val="0"/>
      <w:ind w:left="2125"/>
      <w:jc w:val="both"/>
    </w:pPr>
    <w:rPr>
      <w:rFonts w:ascii="Calibri" w:hAnsi="Calibri" w:eastAsia="宋体" w:cs="Times New Roman"/>
      <w:sz w:val="21"/>
      <w:lang w:val="en-US" w:eastAsia="zh-CN" w:bidi="ar-SA"/>
    </w:rPr>
  </w:style>
  <w:style w:type="paragraph" w:customStyle="1" w:styleId="454">
    <w:name w:val="xl98"/>
    <w:basedOn w:val="1"/>
    <w:next w:val="395"/>
    <w:autoRedefine/>
    <w:qFormat/>
    <w:uiPriority w:val="0"/>
    <w:pPr>
      <w:widowControl/>
      <w:shd w:val="clear" w:color="000000" w:fill="FFFFFF"/>
      <w:spacing w:before="280" w:after="280"/>
      <w:jc w:val="center"/>
    </w:pPr>
    <w:rPr>
      <w:rFonts w:ascii="宋体" w:hAnsi="Calibri"/>
      <w:kern w:val="0"/>
      <w:sz w:val="20"/>
      <w:szCs w:val="20"/>
    </w:rPr>
  </w:style>
  <w:style w:type="paragraph" w:customStyle="1" w:styleId="455">
    <w:name w:val="toc 26"/>
    <w:next w:val="1"/>
    <w:autoRedefine/>
    <w:qFormat/>
    <w:uiPriority w:val="0"/>
    <w:pPr>
      <w:wordWrap w:val="0"/>
      <w:ind w:left="425"/>
      <w:jc w:val="both"/>
    </w:pPr>
    <w:rPr>
      <w:rFonts w:ascii="Calibri" w:hAnsi="Calibri" w:eastAsia="宋体" w:cs="Times New Roman"/>
      <w:sz w:val="21"/>
      <w:lang w:val="en-US" w:eastAsia="zh-CN" w:bidi="ar-SA"/>
    </w:rPr>
  </w:style>
  <w:style w:type="paragraph" w:customStyle="1" w:styleId="456">
    <w:name w:val="toc 13"/>
    <w:next w:val="1"/>
    <w:autoRedefine/>
    <w:qFormat/>
    <w:uiPriority w:val="0"/>
    <w:pPr>
      <w:wordWrap w:val="0"/>
      <w:jc w:val="both"/>
    </w:pPr>
    <w:rPr>
      <w:rFonts w:ascii="Calibri" w:hAnsi="Calibri" w:eastAsia="宋体" w:cs="Times New Roman"/>
      <w:sz w:val="21"/>
      <w:lang w:val="en-US" w:eastAsia="zh-CN" w:bidi="ar-SA"/>
    </w:rPr>
  </w:style>
  <w:style w:type="paragraph" w:customStyle="1" w:styleId="457">
    <w:name w:val="目录 51"/>
    <w:next w:val="1"/>
    <w:autoRedefine/>
    <w:qFormat/>
    <w:uiPriority w:val="0"/>
    <w:pPr>
      <w:wordWrap w:val="0"/>
      <w:ind w:left="1700"/>
      <w:jc w:val="both"/>
    </w:pPr>
    <w:rPr>
      <w:rFonts w:ascii="Calibri" w:hAnsi="Calibri" w:eastAsia="宋体" w:cs="Times New Roman"/>
      <w:sz w:val="21"/>
      <w:lang w:val="en-US" w:eastAsia="zh-CN" w:bidi="ar-SA"/>
    </w:rPr>
  </w:style>
  <w:style w:type="paragraph" w:customStyle="1" w:styleId="458">
    <w:name w:val="xl101"/>
    <w:basedOn w:val="1"/>
    <w:next w:val="426"/>
    <w:autoRedefine/>
    <w:qFormat/>
    <w:uiPriority w:val="0"/>
    <w:pPr>
      <w:widowControl/>
      <w:spacing w:before="280" w:after="280"/>
    </w:pPr>
    <w:rPr>
      <w:rFonts w:ascii="宋体" w:hAnsi="Calibri"/>
      <w:kern w:val="0"/>
      <w:sz w:val="20"/>
      <w:szCs w:val="20"/>
    </w:rPr>
  </w:style>
  <w:style w:type="paragraph" w:customStyle="1" w:styleId="459">
    <w:name w:val="toc 75"/>
    <w:next w:val="1"/>
    <w:autoRedefine/>
    <w:qFormat/>
    <w:uiPriority w:val="0"/>
    <w:pPr>
      <w:wordWrap w:val="0"/>
      <w:ind w:left="2550"/>
      <w:jc w:val="both"/>
    </w:pPr>
    <w:rPr>
      <w:rFonts w:ascii="Calibri" w:hAnsi="Calibri" w:eastAsia="宋体" w:cs="Times New Roman"/>
      <w:sz w:val="21"/>
      <w:lang w:val="en-US" w:eastAsia="zh-CN" w:bidi="ar-SA"/>
    </w:rPr>
  </w:style>
  <w:style w:type="paragraph" w:customStyle="1" w:styleId="460">
    <w:name w:val="toc 715"/>
    <w:next w:val="1"/>
    <w:autoRedefine/>
    <w:qFormat/>
    <w:uiPriority w:val="0"/>
    <w:pPr>
      <w:wordWrap w:val="0"/>
      <w:ind w:left="2550"/>
      <w:jc w:val="both"/>
    </w:pPr>
    <w:rPr>
      <w:rFonts w:ascii="Calibri" w:hAnsi="Calibri" w:eastAsia="宋体" w:cs="Times New Roman"/>
      <w:sz w:val="21"/>
      <w:lang w:val="en-US" w:eastAsia="zh-CN" w:bidi="ar-SA"/>
    </w:rPr>
  </w:style>
  <w:style w:type="paragraph" w:styleId="461">
    <w:name w:val="Intense Quote"/>
    <w:next w:val="1"/>
    <w:link w:val="462"/>
    <w:autoRedefine/>
    <w:qFormat/>
    <w:uiPriority w:val="0"/>
    <w:pPr>
      <w:wordWrap w:val="0"/>
      <w:spacing w:before="360" w:after="360"/>
      <w:ind w:left="950" w:right="950"/>
      <w:jc w:val="center"/>
    </w:pPr>
    <w:rPr>
      <w:rFonts w:ascii="Calibri" w:hAnsi="Calibri" w:eastAsia="宋体" w:cs="Times New Roman"/>
      <w:i/>
      <w:sz w:val="21"/>
      <w:lang w:val="en-US" w:eastAsia="zh-CN" w:bidi="ar-SA"/>
    </w:rPr>
  </w:style>
  <w:style w:type="character" w:customStyle="1" w:styleId="462">
    <w:name w:val="明显引用 字符"/>
    <w:basedOn w:val="48"/>
    <w:link w:val="461"/>
    <w:autoRedefine/>
    <w:qFormat/>
    <w:uiPriority w:val="0"/>
    <w:rPr>
      <w:rFonts w:ascii="Calibri" w:hAnsi="Calibri"/>
      <w:i/>
      <w:sz w:val="21"/>
    </w:rPr>
  </w:style>
  <w:style w:type="paragraph" w:customStyle="1" w:styleId="463">
    <w:name w:val="Char Char Char Char Char Char Char"/>
    <w:basedOn w:val="1"/>
    <w:next w:val="447"/>
    <w:autoRedefine/>
    <w:qFormat/>
    <w:uiPriority w:val="0"/>
    <w:pPr>
      <w:widowControl/>
      <w:spacing w:after="160" w:line="240" w:lineRule="exact"/>
    </w:pPr>
    <w:rPr>
      <w:rFonts w:hAnsi="Calibri"/>
      <w:kern w:val="0"/>
      <w:szCs w:val="20"/>
    </w:rPr>
  </w:style>
  <w:style w:type="paragraph" w:customStyle="1" w:styleId="464">
    <w:name w:val="toc 23"/>
    <w:next w:val="1"/>
    <w:autoRedefine/>
    <w:qFormat/>
    <w:uiPriority w:val="0"/>
    <w:pPr>
      <w:wordWrap w:val="0"/>
      <w:ind w:left="425"/>
      <w:jc w:val="both"/>
    </w:pPr>
    <w:rPr>
      <w:rFonts w:ascii="Calibri" w:hAnsi="Calibri" w:eastAsia="宋体" w:cs="Times New Roman"/>
      <w:sz w:val="21"/>
      <w:lang w:val="en-US" w:eastAsia="zh-CN" w:bidi="ar-SA"/>
    </w:rPr>
  </w:style>
  <w:style w:type="paragraph" w:customStyle="1" w:styleId="465">
    <w:name w:val="目录 61"/>
    <w:next w:val="1"/>
    <w:autoRedefine/>
    <w:qFormat/>
    <w:uiPriority w:val="0"/>
    <w:pPr>
      <w:wordWrap w:val="0"/>
      <w:ind w:left="2125"/>
      <w:jc w:val="both"/>
    </w:pPr>
    <w:rPr>
      <w:rFonts w:ascii="Calibri" w:hAnsi="Calibri" w:eastAsia="宋体" w:cs="Times New Roman"/>
      <w:sz w:val="21"/>
      <w:lang w:val="en-US" w:eastAsia="zh-CN" w:bidi="ar-SA"/>
    </w:rPr>
  </w:style>
  <w:style w:type="paragraph" w:customStyle="1" w:styleId="466">
    <w:name w:val="toc 97"/>
    <w:next w:val="1"/>
    <w:autoRedefine/>
    <w:qFormat/>
    <w:uiPriority w:val="0"/>
    <w:pPr>
      <w:wordWrap w:val="0"/>
      <w:ind w:left="3400"/>
      <w:jc w:val="both"/>
    </w:pPr>
    <w:rPr>
      <w:rFonts w:ascii="Calibri" w:hAnsi="Calibri" w:eastAsia="宋体" w:cs="Times New Roman"/>
      <w:sz w:val="21"/>
      <w:lang w:val="en-US" w:eastAsia="zh-CN" w:bidi="ar-SA"/>
    </w:rPr>
  </w:style>
  <w:style w:type="paragraph" w:customStyle="1" w:styleId="467">
    <w:name w:val="toc 74"/>
    <w:next w:val="1"/>
    <w:autoRedefine/>
    <w:qFormat/>
    <w:uiPriority w:val="0"/>
    <w:pPr>
      <w:wordWrap w:val="0"/>
      <w:ind w:left="2550"/>
      <w:jc w:val="both"/>
    </w:pPr>
    <w:rPr>
      <w:rFonts w:ascii="Calibri" w:hAnsi="Calibri" w:eastAsia="宋体" w:cs="Times New Roman"/>
      <w:sz w:val="21"/>
      <w:lang w:val="en-US" w:eastAsia="zh-CN" w:bidi="ar-SA"/>
    </w:rPr>
  </w:style>
  <w:style w:type="paragraph" w:customStyle="1" w:styleId="468">
    <w:name w:val="xl64"/>
    <w:basedOn w:val="1"/>
    <w:next w:val="443"/>
    <w:autoRedefine/>
    <w:qFormat/>
    <w:uiPriority w:val="0"/>
    <w:pPr>
      <w:widowControl/>
      <w:shd w:val="clear" w:color="000000" w:fill="FFFFFF"/>
      <w:spacing w:before="280" w:after="280"/>
    </w:pPr>
    <w:rPr>
      <w:rFonts w:ascii="宋体" w:hAnsi="Calibri"/>
      <w:kern w:val="0"/>
      <w:sz w:val="20"/>
      <w:szCs w:val="20"/>
    </w:rPr>
  </w:style>
  <w:style w:type="paragraph" w:customStyle="1" w:styleId="469">
    <w:name w:val="xl82"/>
    <w:basedOn w:val="1"/>
    <w:next w:val="288"/>
    <w:autoRedefine/>
    <w:qFormat/>
    <w:uiPriority w:val="0"/>
    <w:pPr>
      <w:widowControl/>
      <w:shd w:val="clear" w:color="000000" w:fill="FFFFFF"/>
      <w:spacing w:before="280" w:after="280"/>
    </w:pPr>
    <w:rPr>
      <w:rFonts w:ascii="宋体" w:hAnsi="Calibri"/>
      <w:kern w:val="0"/>
      <w:sz w:val="20"/>
      <w:szCs w:val="20"/>
    </w:rPr>
  </w:style>
  <w:style w:type="paragraph" w:customStyle="1" w:styleId="470">
    <w:name w:val="toc 32"/>
    <w:next w:val="1"/>
    <w:autoRedefine/>
    <w:qFormat/>
    <w:uiPriority w:val="0"/>
    <w:pPr>
      <w:wordWrap w:val="0"/>
      <w:ind w:left="850"/>
      <w:jc w:val="both"/>
    </w:pPr>
    <w:rPr>
      <w:rFonts w:ascii="Calibri" w:hAnsi="Calibri" w:eastAsia="宋体" w:cs="Times New Roman"/>
      <w:sz w:val="21"/>
      <w:lang w:val="en-US" w:eastAsia="zh-CN" w:bidi="ar-SA"/>
    </w:rPr>
  </w:style>
  <w:style w:type="paragraph" w:customStyle="1" w:styleId="471">
    <w:name w:val="xl77"/>
    <w:basedOn w:val="1"/>
    <w:next w:val="436"/>
    <w:autoRedefine/>
    <w:qFormat/>
    <w:uiPriority w:val="0"/>
    <w:pPr>
      <w:widowControl/>
      <w:shd w:val="clear" w:color="000000" w:fill="FFFFFF"/>
      <w:spacing w:before="280" w:after="280"/>
      <w:jc w:val="center"/>
    </w:pPr>
    <w:rPr>
      <w:rFonts w:ascii="宋体" w:hAnsi="Calibri"/>
      <w:kern w:val="0"/>
      <w:sz w:val="20"/>
      <w:szCs w:val="20"/>
    </w:rPr>
  </w:style>
  <w:style w:type="character" w:customStyle="1" w:styleId="472">
    <w:name w:val="正文缩进 Char1"/>
    <w:autoRedefine/>
    <w:qFormat/>
    <w:uiPriority w:val="0"/>
    <w:rPr>
      <w:rFonts w:eastAsia="宋体"/>
      <w:kern w:val="2"/>
      <w:sz w:val="21"/>
      <w:lang w:val="en-US" w:eastAsia="zh-CN" w:bidi="ar-SA"/>
    </w:rPr>
  </w:style>
  <w:style w:type="character" w:customStyle="1" w:styleId="473">
    <w:name w:val="fielderror"/>
    <w:basedOn w:val="48"/>
    <w:autoRedefine/>
    <w:qFormat/>
    <w:uiPriority w:val="0"/>
    <w:rPr>
      <w:color w:val="800000"/>
    </w:rPr>
  </w:style>
  <w:style w:type="character" w:customStyle="1" w:styleId="474">
    <w:name w:val="hilite6"/>
    <w:basedOn w:val="48"/>
    <w:autoRedefine/>
    <w:qFormat/>
    <w:uiPriority w:val="0"/>
    <w:rPr>
      <w:color w:val="000000"/>
    </w:rPr>
  </w:style>
  <w:style w:type="character" w:customStyle="1" w:styleId="475">
    <w:name w:val="active6"/>
    <w:basedOn w:val="48"/>
    <w:autoRedefine/>
    <w:qFormat/>
    <w:uiPriority w:val="0"/>
    <w:rPr>
      <w:color w:val="FFFFFF"/>
    </w:rPr>
  </w:style>
  <w:style w:type="character" w:customStyle="1" w:styleId="476">
    <w:name w:val="inline-help"/>
    <w:basedOn w:val="48"/>
    <w:autoRedefine/>
    <w:qFormat/>
    <w:uiPriority w:val="0"/>
  </w:style>
  <w:style w:type="character" w:customStyle="1" w:styleId="477">
    <w:name w:val="active"/>
    <w:basedOn w:val="48"/>
    <w:autoRedefine/>
    <w:qFormat/>
    <w:uiPriority w:val="0"/>
    <w:rPr>
      <w:color w:val="FFFFFF"/>
    </w:rPr>
  </w:style>
  <w:style w:type="paragraph" w:customStyle="1" w:styleId="478">
    <w:name w:val="Table Paragraph"/>
    <w:basedOn w:val="1"/>
    <w:autoRedefine/>
    <w:qFormat/>
    <w:uiPriority w:val="1"/>
    <w:rPr>
      <w:rFonts w:ascii="宋体" w:hAnsi="宋体" w:eastAsia="宋体" w:cs="宋体"/>
      <w:lang w:val="zh-CN" w:eastAsia="zh-CN" w:bidi="zh-CN"/>
    </w:rPr>
  </w:style>
  <w:style w:type="paragraph" w:customStyle="1" w:styleId="479">
    <w:name w:val="样式 左侧:  0 厘米 悬挂缩进: 2.5 字符"/>
    <w:basedOn w:val="1"/>
    <w:autoRedefine/>
    <w:qFormat/>
    <w:uiPriority w:val="0"/>
    <w:pPr>
      <w:ind w:left="525" w:hanging="525" w:hangingChars="250"/>
    </w:pPr>
  </w:style>
  <w:style w:type="paragraph" w:customStyle="1" w:styleId="480">
    <w:name w:val="Table Text"/>
    <w:basedOn w:val="1"/>
    <w:semiHidden/>
    <w:qFormat/>
    <w:uiPriority w:val="0"/>
    <w:rPr>
      <w:rFonts w:ascii="宋体" w:hAnsi="宋体" w:eastAsia="宋体" w:cs="宋体"/>
      <w:sz w:val="21"/>
      <w:szCs w:val="21"/>
      <w:lang w:val="en-US" w:eastAsia="en-US" w:bidi="ar-SA"/>
    </w:rPr>
  </w:style>
  <w:style w:type="table" w:customStyle="1" w:styleId="481">
    <w:name w:val="Table Normal"/>
    <w:semiHidden/>
    <w:unhideWhenUsed/>
    <w:qFormat/>
    <w:uiPriority w:val="0"/>
    <w:tblPr>
      <w:tblCellMar>
        <w:top w:w="0" w:type="dxa"/>
        <w:left w:w="0" w:type="dxa"/>
        <w:bottom w:w="0" w:type="dxa"/>
        <w:right w:w="0" w:type="dxa"/>
      </w:tblCellMar>
    </w:tblPr>
  </w:style>
  <w:style w:type="table" w:customStyle="1" w:styleId="482">
    <w:name w:val="网格型1"/>
    <w:basedOn w:val="45"/>
    <w:qFormat/>
    <w:uiPriority w:val="0"/>
    <w:pPr>
      <w:widowControl w:val="0"/>
      <w:jc w:val="both"/>
    </w:pPr>
    <w:rPr>
      <w:rFonts w:eastAsia="宋体"/>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483">
    <w:name w:val="表格文字"/>
    <w:basedOn w:val="1"/>
    <w:qFormat/>
    <w:uiPriority w:val="0"/>
    <w:pPr>
      <w:spacing w:before="25" w:after="25"/>
      <w:jc w:val="left"/>
    </w:pPr>
    <w:rPr>
      <w:spacing w:val="10"/>
      <w:kern w:val="0"/>
      <w:sz w:val="24"/>
    </w:rPr>
  </w:style>
  <w:style w:type="paragraph" w:customStyle="1" w:styleId="484">
    <w:name w:val="正文2"/>
    <w:basedOn w:val="1"/>
    <w:qFormat/>
    <w:uiPriority w:val="0"/>
    <w:pPr>
      <w:spacing w:before="156" w:line="360" w:lineRule="auto"/>
      <w:ind w:firstLine="510" w:firstLineChars="200"/>
    </w:pPr>
    <w:rPr>
      <w:rFonts w:asciiTheme="minorHAnsi" w:hAnsiTheme="minorHAnsi" w:eastAsiaTheme="minorEastAsia" w:cstheme="minorBidi"/>
      <w:sz w:val="24"/>
      <w:szCs w:val="20"/>
    </w:rPr>
  </w:style>
  <w:style w:type="paragraph" w:customStyle="1" w:styleId="485">
    <w:name w:val="*正文"/>
    <w:basedOn w:val="1"/>
    <w:qFormat/>
    <w:uiPriority w:val="0"/>
    <w:pPr>
      <w:widowControl/>
      <w:spacing w:line="360" w:lineRule="auto"/>
      <w:ind w:firstLine="200" w:firstLineChars="200"/>
      <w:jc w:val="left"/>
    </w:pPr>
    <w:rPr>
      <w:rFonts w:ascii="仿宋_GB2312" w:hAnsiTheme="minorHAnsi" w:eastAsiaTheme="minorEastAsia" w:cstheme="minorBidi"/>
      <w:sz w:val="24"/>
      <w:szCs w:val="28"/>
    </w:rPr>
  </w:style>
</w:styles>
</file>

<file path=word/_rels/document.xml.rels><?xml version="1.0" encoding="UTF-8" standalone="yes"?>
<Relationships xmlns="http://schemas.openxmlformats.org/package/2006/relationships"><Relationship Id="rId9" Type="http://schemas.openxmlformats.org/officeDocument/2006/relationships/image" Target="media/image3.jpeg"/><Relationship Id="rId8" Type="http://schemas.openxmlformats.org/officeDocument/2006/relationships/image" Target="media/image2.jpeg"/><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1.xml"/><Relationship Id="rId11" Type="http://schemas.openxmlformats.org/officeDocument/2006/relationships/numbering" Target="numbering.xml"/><Relationship Id="rId10" Type="http://schemas.openxmlformats.org/officeDocument/2006/relationships/image" Target="media/image4.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2B4DA3C-3EBF-4C34-A699-3832E525D532}">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69</Pages>
  <Words>4675</Words>
  <Characters>4931</Characters>
  <Lines>300</Lines>
  <Paragraphs>84</Paragraphs>
  <TotalTime>37</TotalTime>
  <ScaleCrop>false</ScaleCrop>
  <LinksUpToDate>false</LinksUpToDate>
  <CharactersWithSpaces>4943</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2021-05-07T05:47:00Z</dcterms:created>
  <dc:creator>thsware</dc:creator>
  <cp:lastModifiedBy>WPS_1747292468</cp:lastModifiedBy>
  <cp:lastPrinted>2021-05-16T11:04:00Z</cp:lastPrinted>
  <dcterms:modified xsi:type="dcterms:W3CDTF">2026-03-05T03:45:11Z</dcterms:modified>
  <dc:title>招  标　文　件</dc:title>
  <cp:revision>48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525BEAD58DE149019B5A7696F31D2922_13</vt:lpwstr>
  </property>
  <property fmtid="{D5CDD505-2E9C-101B-9397-08002B2CF9AE}" pid="4" name="KSOTemplateDocerSaveRecord">
    <vt:lpwstr>eyJoZGlkIjoiMDkyN2JiZWExZTU5NTY1MjkyNzYyYTVlZGFiOWRkZjAiLCJ1c2VySWQiOiIxNzAxODI3Nzc5In0=</vt:lpwstr>
  </property>
</Properties>
</file>